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2BFB9" w14:textId="560FC4EE" w:rsidR="00FF3DA6" w:rsidRPr="00F91CB3" w:rsidRDefault="00FF3DA6" w:rsidP="007E5C1C">
      <w:pPr>
        <w:ind w:right="5385"/>
        <w:jc w:val="both"/>
        <w:rPr>
          <w:rFonts w:ascii="Times" w:hAnsi="Times"/>
          <w:b/>
          <w:lang w:val="fr-FR"/>
        </w:rPr>
      </w:pPr>
      <w:r w:rsidRPr="00F91CB3">
        <w:rPr>
          <w:rFonts w:ascii="Times" w:hAnsi="Times"/>
          <w:b/>
          <w:lang w:val="fr-FR"/>
        </w:rPr>
        <w:t xml:space="preserve">Dr Demir Onger, </w:t>
      </w:r>
      <w:r w:rsidRPr="00F91CB3">
        <w:rPr>
          <w:rFonts w:ascii="Times" w:hAnsi="Times"/>
          <w:b/>
          <w:i/>
          <w:lang w:val="fr-FR"/>
        </w:rPr>
        <w:t>Président</w:t>
      </w:r>
      <w:r w:rsidR="00E465BA" w:rsidRPr="00F91CB3">
        <w:rPr>
          <w:rFonts w:ascii="Times" w:hAnsi="Times"/>
          <w:b/>
          <w:i/>
          <w:lang w:val="fr-FR"/>
        </w:rPr>
        <w:t xml:space="preserve"> de</w:t>
      </w:r>
      <w:r w:rsidR="007E5C1C" w:rsidRPr="00F91CB3">
        <w:rPr>
          <w:rFonts w:ascii="Times" w:hAnsi="Times"/>
          <w:b/>
          <w:i/>
          <w:lang w:val="fr-FR"/>
        </w:rPr>
        <w:t xml:space="preserve"> </w:t>
      </w:r>
      <w:r w:rsidR="007516CA" w:rsidRPr="00F91CB3">
        <w:rPr>
          <w:rFonts w:ascii="Times" w:hAnsi="Times"/>
          <w:b/>
          <w:i/>
          <w:lang w:val="fr-FR"/>
        </w:rPr>
        <w:t>l’Association pour la Ne</w:t>
      </w:r>
      <w:r w:rsidR="007E5C1C" w:rsidRPr="00F91CB3">
        <w:rPr>
          <w:rFonts w:ascii="Times" w:hAnsi="Times"/>
          <w:b/>
          <w:i/>
          <w:lang w:val="fr-FR"/>
        </w:rPr>
        <w:t>utralité de l’Histoire Turque dans les Programmes Scolaires</w:t>
      </w:r>
    </w:p>
    <w:p w14:paraId="3602BF6B" w14:textId="77777777" w:rsidR="007E5C1C" w:rsidRPr="00F91CB3" w:rsidRDefault="007E5C1C" w:rsidP="007E5C1C">
      <w:pPr>
        <w:ind w:right="5385"/>
        <w:jc w:val="both"/>
        <w:rPr>
          <w:rFonts w:ascii="Times" w:hAnsi="Times"/>
          <w:b/>
          <w:lang w:val="fr-FR"/>
        </w:rPr>
      </w:pPr>
    </w:p>
    <w:p w14:paraId="3861C51E" w14:textId="40FFC05E" w:rsidR="00FF3DA6" w:rsidRPr="00F91CB3" w:rsidRDefault="00AB16CD" w:rsidP="007E5C1C">
      <w:pPr>
        <w:ind w:right="5385"/>
        <w:jc w:val="both"/>
        <w:rPr>
          <w:rFonts w:ascii="Times" w:hAnsi="Times"/>
          <w:b/>
          <w:lang w:val="fr-FR"/>
        </w:rPr>
      </w:pPr>
      <w:r w:rsidRPr="00F91CB3">
        <w:rPr>
          <w:rFonts w:ascii="Times" w:hAnsi="Times"/>
          <w:b/>
          <w:lang w:val="fr-FR"/>
        </w:rPr>
        <w:t>M.</w:t>
      </w:r>
      <w:r w:rsidR="007E5C1C" w:rsidRPr="00F91CB3">
        <w:rPr>
          <w:rFonts w:ascii="Times" w:hAnsi="Times"/>
          <w:b/>
          <w:lang w:val="fr-FR"/>
        </w:rPr>
        <w:t xml:space="preserve"> </w:t>
      </w:r>
      <w:r w:rsidRPr="00F91CB3">
        <w:rPr>
          <w:rFonts w:ascii="Times" w:hAnsi="Times"/>
          <w:b/>
          <w:lang w:val="fr-FR"/>
        </w:rPr>
        <w:t>Lutfi Bilgen</w:t>
      </w:r>
      <w:r w:rsidR="007E5C1C" w:rsidRPr="00F91CB3">
        <w:rPr>
          <w:rFonts w:ascii="Times" w:hAnsi="Times"/>
          <w:b/>
          <w:lang w:val="fr-FR"/>
        </w:rPr>
        <w:t xml:space="preserve">, </w:t>
      </w:r>
      <w:r w:rsidRPr="00F91CB3">
        <w:rPr>
          <w:rFonts w:ascii="Times" w:hAnsi="Times"/>
          <w:b/>
          <w:i/>
          <w:lang w:val="fr-FR"/>
        </w:rPr>
        <w:t>Président de l</w:t>
      </w:r>
      <w:r w:rsidR="007E5C1C" w:rsidRPr="00F91CB3">
        <w:rPr>
          <w:rFonts w:ascii="Times" w:hAnsi="Times"/>
          <w:b/>
          <w:i/>
          <w:lang w:val="fr-FR"/>
        </w:rPr>
        <w:t>’</w:t>
      </w:r>
      <w:r w:rsidRPr="00F91CB3">
        <w:rPr>
          <w:rFonts w:ascii="Times" w:hAnsi="Times"/>
          <w:b/>
          <w:i/>
          <w:lang w:val="fr-FR"/>
        </w:rPr>
        <w:t xml:space="preserve">Union des associations Culturelles Turques de </w:t>
      </w:r>
      <w:r w:rsidR="007E5C1C" w:rsidRPr="00F91CB3">
        <w:rPr>
          <w:rFonts w:ascii="Times" w:hAnsi="Times"/>
          <w:b/>
          <w:i/>
          <w:lang w:val="fr-FR"/>
        </w:rPr>
        <w:t>France</w:t>
      </w:r>
    </w:p>
    <w:p w14:paraId="2276475C" w14:textId="77777777" w:rsidR="007E5C1C" w:rsidRPr="00F91CB3" w:rsidRDefault="007E5C1C" w:rsidP="007E5C1C">
      <w:pPr>
        <w:ind w:right="5385"/>
        <w:jc w:val="both"/>
        <w:rPr>
          <w:rFonts w:ascii="Times" w:hAnsi="Times"/>
          <w:b/>
          <w:lang w:val="fr-FR"/>
        </w:rPr>
      </w:pPr>
    </w:p>
    <w:p w14:paraId="73E70C36" w14:textId="556F5B89" w:rsidR="00AB16CD" w:rsidRPr="00F91CB3" w:rsidRDefault="00AB16CD" w:rsidP="007E5C1C">
      <w:pPr>
        <w:ind w:right="5385"/>
        <w:jc w:val="both"/>
        <w:rPr>
          <w:rFonts w:ascii="Times" w:hAnsi="Times"/>
          <w:b/>
          <w:lang w:val="fr-FR"/>
        </w:rPr>
      </w:pPr>
      <w:r w:rsidRPr="00F91CB3">
        <w:rPr>
          <w:rFonts w:ascii="Times" w:hAnsi="Times"/>
          <w:b/>
          <w:lang w:val="fr-FR"/>
        </w:rPr>
        <w:t>77</w:t>
      </w:r>
      <w:r w:rsidR="007E5C1C" w:rsidRPr="00F91CB3">
        <w:rPr>
          <w:rFonts w:ascii="Times" w:hAnsi="Times"/>
          <w:b/>
          <w:lang w:val="fr-FR"/>
        </w:rPr>
        <w:t xml:space="preserve">, </w:t>
      </w:r>
      <w:r w:rsidRPr="00F91CB3">
        <w:rPr>
          <w:rFonts w:ascii="Times" w:hAnsi="Times"/>
          <w:b/>
          <w:lang w:val="fr-FR"/>
        </w:rPr>
        <w:t xml:space="preserve">rue Lafayette </w:t>
      </w:r>
    </w:p>
    <w:p w14:paraId="01CC7C11" w14:textId="1D760207" w:rsidR="00AB16CD" w:rsidRPr="00F91CB3" w:rsidRDefault="00680ECF" w:rsidP="007E5C1C">
      <w:pPr>
        <w:ind w:right="5385"/>
        <w:jc w:val="both"/>
        <w:rPr>
          <w:rFonts w:ascii="Times" w:hAnsi="Times"/>
          <w:b/>
          <w:lang w:val="fr-FR"/>
        </w:rPr>
      </w:pPr>
      <w:r w:rsidRPr="00F91CB3">
        <w:rPr>
          <w:rFonts w:ascii="Times" w:hAnsi="Times"/>
          <w:b/>
          <w:lang w:val="fr-FR"/>
        </w:rPr>
        <w:t xml:space="preserve">75009 Paris </w:t>
      </w:r>
      <w:r w:rsidR="00AB16CD" w:rsidRPr="00F91CB3">
        <w:rPr>
          <w:rFonts w:ascii="Times" w:hAnsi="Times"/>
          <w:b/>
          <w:lang w:val="fr-FR"/>
        </w:rPr>
        <w:t xml:space="preserve"> </w:t>
      </w:r>
    </w:p>
    <w:p w14:paraId="72BD7DB1" w14:textId="2A69644C" w:rsidR="00FF3DA6" w:rsidRPr="007E5C1C" w:rsidRDefault="004D1F84" w:rsidP="00FF3DA6">
      <w:pPr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 xml:space="preserve"> </w:t>
      </w:r>
    </w:p>
    <w:p w14:paraId="1187A69E" w14:textId="55C9A379" w:rsidR="00FF3DA6" w:rsidRPr="004D1F84" w:rsidRDefault="00CC3022" w:rsidP="004D1F84">
      <w:pPr>
        <w:jc w:val="both"/>
        <w:rPr>
          <w:rFonts w:ascii="Times" w:hAnsi="Times"/>
          <w:b/>
          <w:lang w:val="fr-FR"/>
        </w:rPr>
      </w:pPr>
      <w:r>
        <w:rPr>
          <w:rFonts w:ascii="Times" w:hAnsi="Times"/>
          <w:lang w:val="fr-FR"/>
        </w:rPr>
        <w:tab/>
      </w:r>
      <w:r w:rsidR="004D1F84">
        <w:rPr>
          <w:rFonts w:ascii="Times" w:hAnsi="Times"/>
          <w:b/>
          <w:lang w:val="fr-FR"/>
        </w:rPr>
        <w:tab/>
      </w:r>
      <w:r w:rsidR="004D1F84">
        <w:rPr>
          <w:rFonts w:ascii="Times" w:hAnsi="Times"/>
          <w:b/>
          <w:lang w:val="fr-FR"/>
        </w:rPr>
        <w:tab/>
      </w:r>
      <w:r w:rsidR="004D1F84">
        <w:rPr>
          <w:rFonts w:ascii="Times" w:hAnsi="Times"/>
          <w:b/>
          <w:lang w:val="fr-FR"/>
        </w:rPr>
        <w:tab/>
      </w:r>
      <w:r w:rsidR="004D1F84">
        <w:rPr>
          <w:rFonts w:ascii="Times" w:hAnsi="Times"/>
          <w:b/>
          <w:lang w:val="fr-FR"/>
        </w:rPr>
        <w:tab/>
      </w:r>
      <w:r w:rsidR="004D1F84">
        <w:rPr>
          <w:rFonts w:ascii="Times" w:hAnsi="Times"/>
          <w:b/>
          <w:lang w:val="fr-FR"/>
        </w:rPr>
        <w:tab/>
      </w:r>
      <w:r w:rsidR="004D1F84">
        <w:rPr>
          <w:rFonts w:ascii="Times" w:hAnsi="Times"/>
          <w:b/>
          <w:lang w:val="fr-FR"/>
        </w:rPr>
        <w:tab/>
      </w:r>
      <w:r w:rsidR="004D1F84">
        <w:rPr>
          <w:rFonts w:ascii="Times" w:hAnsi="Times"/>
          <w:b/>
          <w:lang w:val="fr-FR"/>
        </w:rPr>
        <w:tab/>
      </w:r>
      <w:r w:rsidR="004D1F84">
        <w:rPr>
          <w:rFonts w:ascii="Times" w:hAnsi="Times"/>
          <w:b/>
          <w:lang w:val="fr-FR"/>
        </w:rPr>
        <w:tab/>
      </w:r>
      <w:r w:rsidR="00FF3DA6" w:rsidRPr="007E5C1C">
        <w:rPr>
          <w:rFonts w:ascii="Times" w:hAnsi="Times"/>
          <w:lang w:val="fr-FR"/>
        </w:rPr>
        <w:t xml:space="preserve">Paris, le </w:t>
      </w:r>
      <w:r w:rsidR="00347605">
        <w:rPr>
          <w:rFonts w:ascii="Times" w:hAnsi="Times"/>
          <w:lang w:val="fr-FR"/>
        </w:rPr>
        <w:t>3 octobre</w:t>
      </w:r>
      <w:r>
        <w:rPr>
          <w:rFonts w:ascii="Times" w:hAnsi="Times"/>
          <w:lang w:val="fr-FR"/>
        </w:rPr>
        <w:t xml:space="preserve"> </w:t>
      </w:r>
      <w:r w:rsidR="00FF3DA6" w:rsidRPr="007E5C1C">
        <w:rPr>
          <w:rFonts w:ascii="Times" w:hAnsi="Times"/>
          <w:lang w:val="fr-FR"/>
        </w:rPr>
        <w:t>2016</w:t>
      </w:r>
    </w:p>
    <w:p w14:paraId="1C0FC415" w14:textId="77777777" w:rsidR="00FF3DA6" w:rsidRPr="007E5C1C" w:rsidRDefault="00FF3DA6" w:rsidP="00FF3DA6">
      <w:pPr>
        <w:jc w:val="both"/>
        <w:rPr>
          <w:rFonts w:ascii="Times" w:hAnsi="Times"/>
          <w:lang w:val="fr-FR"/>
        </w:rPr>
      </w:pPr>
    </w:p>
    <w:p w14:paraId="23E21473" w14:textId="77777777" w:rsidR="00FF3DA6" w:rsidRPr="007E5C1C" w:rsidRDefault="00FF3DA6" w:rsidP="00FF3DA6">
      <w:pPr>
        <w:jc w:val="both"/>
        <w:rPr>
          <w:rFonts w:ascii="Times" w:hAnsi="Times"/>
          <w:lang w:val="fr-FR"/>
        </w:rPr>
      </w:pPr>
    </w:p>
    <w:p w14:paraId="66B11DDA" w14:textId="2AD0E18B" w:rsidR="007516CA" w:rsidRDefault="00FF3DA6" w:rsidP="004D1F84">
      <w:pPr>
        <w:jc w:val="both"/>
        <w:rPr>
          <w:rFonts w:ascii="Times" w:hAnsi="Times"/>
          <w:lang w:val="fr-FR"/>
        </w:rPr>
      </w:pPr>
      <w:r w:rsidRPr="007E5C1C">
        <w:rPr>
          <w:rFonts w:ascii="Times" w:hAnsi="Times"/>
          <w:b/>
          <w:lang w:val="fr-FR"/>
        </w:rPr>
        <w:t>O</w:t>
      </w:r>
      <w:r w:rsidR="007E5C1C">
        <w:rPr>
          <w:rFonts w:ascii="Times" w:hAnsi="Times"/>
          <w:b/>
          <w:lang w:val="fr-FR"/>
        </w:rPr>
        <w:t>bjet</w:t>
      </w:r>
      <w:r w:rsidR="007E5C1C" w:rsidRPr="007E5C1C">
        <w:rPr>
          <w:rFonts w:ascii="Times" w:hAnsi="Times"/>
          <w:b/>
          <w:lang w:val="fr-FR"/>
        </w:rPr>
        <w:t> </w:t>
      </w:r>
      <w:r w:rsidRPr="007E5C1C">
        <w:rPr>
          <w:rFonts w:ascii="Times" w:hAnsi="Times"/>
          <w:b/>
          <w:lang w:val="fr-FR"/>
        </w:rPr>
        <w:t xml:space="preserve">: </w:t>
      </w:r>
      <w:r w:rsidR="00CC3022">
        <w:rPr>
          <w:rFonts w:ascii="Times" w:hAnsi="Times"/>
          <w:b/>
          <w:lang w:val="fr-FR"/>
        </w:rPr>
        <w:t xml:space="preserve">Ancien </w:t>
      </w:r>
      <w:r w:rsidRPr="007E5C1C">
        <w:rPr>
          <w:rFonts w:ascii="Times" w:hAnsi="Times"/>
          <w:b/>
          <w:lang w:val="fr-FR"/>
        </w:rPr>
        <w:t>article</w:t>
      </w:r>
      <w:r w:rsidR="007E5C1C" w:rsidRPr="007E5C1C">
        <w:rPr>
          <w:rFonts w:ascii="Times" w:hAnsi="Times"/>
          <w:b/>
          <w:lang w:val="fr-FR"/>
        </w:rPr>
        <w:t> </w:t>
      </w:r>
      <w:r w:rsidRPr="007E5C1C">
        <w:rPr>
          <w:rFonts w:ascii="Times" w:hAnsi="Times"/>
          <w:b/>
          <w:lang w:val="fr-FR"/>
        </w:rPr>
        <w:t xml:space="preserve">38 ter </w:t>
      </w:r>
      <w:r w:rsidR="00946CD3" w:rsidRPr="007E5C1C">
        <w:rPr>
          <w:rFonts w:ascii="Times" w:hAnsi="Times"/>
          <w:b/>
          <w:lang w:val="fr-FR"/>
        </w:rPr>
        <w:t>du projet de loi n° 3679 relatif à l’égalité et à la citoyenneté</w:t>
      </w:r>
      <w:r w:rsidR="00946CD3">
        <w:rPr>
          <w:rFonts w:ascii="Times" w:hAnsi="Times"/>
          <w:b/>
          <w:lang w:val="fr-FR"/>
        </w:rPr>
        <w:t xml:space="preserve"> issu d’un amendement du Gouvernement</w:t>
      </w:r>
      <w:r w:rsidR="00CC3022">
        <w:rPr>
          <w:rFonts w:ascii="Times" w:hAnsi="Times"/>
          <w:b/>
          <w:lang w:val="fr-FR"/>
        </w:rPr>
        <w:t> </w:t>
      </w:r>
      <w:r w:rsidR="00946CD3">
        <w:rPr>
          <w:rFonts w:ascii="Times" w:hAnsi="Times"/>
          <w:b/>
          <w:lang w:val="fr-FR"/>
        </w:rPr>
        <w:t xml:space="preserve">supprimé par la commission spéciale . </w:t>
      </w:r>
      <w:r w:rsidR="004D1F84">
        <w:rPr>
          <w:rFonts w:ascii="Times" w:hAnsi="Times"/>
          <w:b/>
          <w:lang w:val="fr-FR"/>
        </w:rPr>
        <w:t xml:space="preserve"> </w:t>
      </w:r>
      <w:r w:rsidR="00AB16CD" w:rsidRPr="007E5C1C">
        <w:rPr>
          <w:rFonts w:ascii="Times" w:hAnsi="Times"/>
          <w:lang w:val="fr-FR"/>
        </w:rPr>
        <w:t xml:space="preserve"> </w:t>
      </w:r>
    </w:p>
    <w:p w14:paraId="4382CB62" w14:textId="77777777" w:rsidR="007E5C1C" w:rsidRPr="007E5C1C" w:rsidRDefault="007E5C1C" w:rsidP="007516CA">
      <w:pPr>
        <w:jc w:val="both"/>
        <w:rPr>
          <w:rFonts w:ascii="Times" w:hAnsi="Times"/>
          <w:lang w:val="fr-FR"/>
        </w:rPr>
      </w:pPr>
    </w:p>
    <w:p w14:paraId="339130B3" w14:textId="77777777" w:rsidR="004D1F84" w:rsidRDefault="004D1F84" w:rsidP="007E5C1C">
      <w:pPr>
        <w:ind w:firstLine="720"/>
        <w:jc w:val="both"/>
        <w:rPr>
          <w:rFonts w:ascii="Times" w:hAnsi="Times"/>
          <w:lang w:val="fr-FR"/>
        </w:rPr>
      </w:pPr>
    </w:p>
    <w:p w14:paraId="64061167" w14:textId="77777777" w:rsidR="004D1F84" w:rsidRDefault="004D1F84" w:rsidP="007E5C1C">
      <w:pPr>
        <w:ind w:firstLine="720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Monsieur le Sénateur ,</w:t>
      </w:r>
    </w:p>
    <w:p w14:paraId="6A0A57BE" w14:textId="57D6761B" w:rsidR="007516CA" w:rsidRPr="007E5C1C" w:rsidRDefault="00FF3DA6" w:rsidP="007E5C1C">
      <w:pPr>
        <w:ind w:firstLine="720"/>
        <w:jc w:val="both"/>
        <w:rPr>
          <w:rFonts w:ascii="Times" w:hAnsi="Times"/>
          <w:lang w:val="fr-FR"/>
        </w:rPr>
      </w:pPr>
      <w:bookmarkStart w:id="0" w:name="_GoBack"/>
      <w:bookmarkEnd w:id="0"/>
      <w:r w:rsidRPr="007E5C1C">
        <w:rPr>
          <w:rFonts w:ascii="Times" w:hAnsi="Times"/>
          <w:lang w:val="fr-FR"/>
        </w:rPr>
        <w:t xml:space="preserve">L’Assemblée nationale a adopté </w:t>
      </w:r>
      <w:r w:rsidR="00E465BA" w:rsidRPr="007E5C1C">
        <w:rPr>
          <w:rFonts w:ascii="Times" w:hAnsi="Times"/>
          <w:lang w:val="fr-FR"/>
        </w:rPr>
        <w:t xml:space="preserve">le vendredi 1er juillet 2016, </w:t>
      </w:r>
      <w:r w:rsidRPr="007E5C1C">
        <w:rPr>
          <w:rFonts w:ascii="Times" w:hAnsi="Times"/>
          <w:lang w:val="fr-FR"/>
        </w:rPr>
        <w:t xml:space="preserve">à </w:t>
      </w:r>
      <w:r w:rsidR="00E465BA" w:rsidRPr="007E5C1C">
        <w:rPr>
          <w:rFonts w:ascii="Times" w:hAnsi="Times"/>
          <w:lang w:val="fr-FR"/>
        </w:rPr>
        <w:t>la sauvette et en pr</w:t>
      </w:r>
      <w:r w:rsidR="007E5C1C" w:rsidRPr="007E5C1C">
        <w:rPr>
          <w:rFonts w:ascii="Times" w:hAnsi="Times"/>
          <w:lang w:val="fr-FR"/>
        </w:rPr>
        <w:t>é</w:t>
      </w:r>
      <w:r w:rsidR="00E465BA" w:rsidRPr="007E5C1C">
        <w:rPr>
          <w:rFonts w:ascii="Times" w:hAnsi="Times"/>
          <w:lang w:val="fr-FR"/>
        </w:rPr>
        <w:t>senc</w:t>
      </w:r>
      <w:r w:rsidR="007516CA" w:rsidRPr="007E5C1C">
        <w:rPr>
          <w:rFonts w:ascii="Times" w:hAnsi="Times"/>
          <w:lang w:val="fr-FR"/>
        </w:rPr>
        <w:t>e d’une vingtaine de d</w:t>
      </w:r>
      <w:r w:rsidR="007E5C1C" w:rsidRPr="007E5C1C">
        <w:rPr>
          <w:rFonts w:ascii="Times" w:hAnsi="Times"/>
          <w:lang w:val="fr-FR"/>
        </w:rPr>
        <w:t>é</w:t>
      </w:r>
      <w:r w:rsidR="007516CA" w:rsidRPr="007E5C1C">
        <w:rPr>
          <w:rFonts w:ascii="Times" w:hAnsi="Times"/>
          <w:lang w:val="fr-FR"/>
        </w:rPr>
        <w:t xml:space="preserve">putés, </w:t>
      </w:r>
      <w:r w:rsidR="007E5C1C" w:rsidRPr="007E5C1C">
        <w:rPr>
          <w:rFonts w:ascii="Times" w:hAnsi="Times"/>
          <w:lang w:val="fr-FR"/>
        </w:rPr>
        <w:t>«</w:t>
      </w:r>
      <w:r w:rsidR="007E5C1C" w:rsidRPr="007E5C1C">
        <w:rPr>
          <w:rFonts w:ascii="Calibri" w:eastAsia="Calibri" w:hAnsi="Calibri" w:cs="Calibri"/>
          <w:lang w:val="fr-FR"/>
        </w:rPr>
        <w:t> </w:t>
      </w:r>
      <w:r w:rsidR="00E465BA" w:rsidRPr="007E5C1C">
        <w:rPr>
          <w:rFonts w:ascii="Times" w:hAnsi="Times"/>
          <w:lang w:val="fr-FR"/>
        </w:rPr>
        <w:t>à l’unanimité</w:t>
      </w:r>
      <w:r w:rsidR="007E5C1C" w:rsidRPr="007E5C1C">
        <w:rPr>
          <w:rFonts w:ascii="Calibri" w:eastAsia="Calibri" w:hAnsi="Calibri" w:cs="Calibri"/>
          <w:lang w:val="fr-FR"/>
        </w:rPr>
        <w:t> </w:t>
      </w:r>
      <w:r w:rsidR="007E5C1C" w:rsidRPr="007E5C1C">
        <w:rPr>
          <w:rFonts w:ascii="Times" w:hAnsi="Times"/>
          <w:lang w:val="fr-FR"/>
        </w:rPr>
        <w:t>»</w:t>
      </w:r>
      <w:r w:rsidR="007516CA" w:rsidRPr="007E5C1C">
        <w:rPr>
          <w:rFonts w:ascii="Times" w:hAnsi="Times"/>
          <w:lang w:val="fr-FR"/>
        </w:rPr>
        <w:t xml:space="preserve"> de</w:t>
      </w:r>
      <w:r w:rsidR="007E5C1C">
        <w:rPr>
          <w:rFonts w:ascii="Times" w:hAnsi="Times"/>
          <w:lang w:val="fr-FR"/>
        </w:rPr>
        <w:t>s</w:t>
      </w:r>
      <w:r w:rsidR="007516CA" w:rsidRPr="007E5C1C">
        <w:rPr>
          <w:rFonts w:ascii="Times" w:hAnsi="Times"/>
          <w:lang w:val="fr-FR"/>
        </w:rPr>
        <w:t xml:space="preserve"> présents</w:t>
      </w:r>
      <w:r w:rsidR="00E465BA" w:rsidRPr="007E5C1C">
        <w:rPr>
          <w:rFonts w:ascii="Times" w:hAnsi="Times"/>
          <w:lang w:val="fr-FR"/>
        </w:rPr>
        <w:t xml:space="preserve"> </w:t>
      </w:r>
      <w:r w:rsidR="007516CA" w:rsidRPr="007E5C1C">
        <w:rPr>
          <w:rFonts w:ascii="Times" w:hAnsi="Times"/>
          <w:lang w:val="fr-FR"/>
        </w:rPr>
        <w:t xml:space="preserve">et </w:t>
      </w:r>
      <w:r w:rsidR="00E465BA" w:rsidRPr="007E5C1C">
        <w:rPr>
          <w:rFonts w:ascii="Times" w:hAnsi="Times"/>
          <w:lang w:val="fr-FR"/>
        </w:rPr>
        <w:t>sans même qu’il ait été examin</w:t>
      </w:r>
      <w:r w:rsidR="007E5C1C">
        <w:rPr>
          <w:rFonts w:ascii="Times" w:hAnsi="Times"/>
          <w:lang w:val="fr-FR"/>
        </w:rPr>
        <w:t>é</w:t>
      </w:r>
      <w:r w:rsidR="00E465BA" w:rsidRPr="007E5C1C">
        <w:rPr>
          <w:rFonts w:ascii="Times" w:hAnsi="Times"/>
          <w:lang w:val="fr-FR"/>
        </w:rPr>
        <w:t xml:space="preserve"> par la Commission des Lois</w:t>
      </w:r>
      <w:r w:rsidRPr="007E5C1C">
        <w:rPr>
          <w:rFonts w:ascii="Times" w:hAnsi="Times"/>
          <w:lang w:val="fr-FR"/>
        </w:rPr>
        <w:t>, un amendement d’origine gouvernementale modifiant l’article</w:t>
      </w:r>
      <w:r w:rsidR="007E5C1C" w:rsidRPr="007E5C1C">
        <w:rPr>
          <w:rFonts w:ascii="Times" w:hAnsi="Times"/>
          <w:lang w:val="fr-FR"/>
        </w:rPr>
        <w:t> </w:t>
      </w:r>
      <w:r w:rsidRPr="007E5C1C">
        <w:rPr>
          <w:rFonts w:ascii="Times" w:hAnsi="Times"/>
          <w:lang w:val="fr-FR"/>
        </w:rPr>
        <w:t>24 bis de la loi du 29 juillet 1881</w:t>
      </w:r>
      <w:r w:rsidR="00946CD3">
        <w:rPr>
          <w:rFonts w:ascii="Times" w:hAnsi="Times"/>
          <w:lang w:val="fr-FR"/>
        </w:rPr>
        <w:t>supprimé par la Commission spéciale du Sénat</w:t>
      </w:r>
      <w:r w:rsidR="007516CA" w:rsidRPr="007E5C1C">
        <w:rPr>
          <w:rFonts w:ascii="Times" w:hAnsi="Times"/>
          <w:lang w:val="fr-FR"/>
        </w:rPr>
        <w:t>. En méconnaissance de la jurisprudence du Conseil constitutionnel et de la Cour européenne des Droits de l’Homme</w:t>
      </w:r>
      <w:r w:rsidR="007E5C1C" w:rsidRPr="007E5C1C">
        <w:rPr>
          <w:rFonts w:ascii="Times" w:hAnsi="Times"/>
          <w:lang w:val="fr-FR"/>
        </w:rPr>
        <w:t xml:space="preserve">, </w:t>
      </w:r>
      <w:r w:rsidR="007516CA" w:rsidRPr="007E5C1C">
        <w:rPr>
          <w:rFonts w:ascii="Times" w:hAnsi="Times"/>
          <w:lang w:val="fr-FR"/>
        </w:rPr>
        <w:t>i</w:t>
      </w:r>
      <w:r w:rsidR="00E465BA" w:rsidRPr="007E5C1C">
        <w:rPr>
          <w:rFonts w:ascii="Times" w:hAnsi="Times"/>
          <w:lang w:val="fr-FR"/>
        </w:rPr>
        <w:t>l vise</w:t>
      </w:r>
      <w:r w:rsidR="007E5C1C" w:rsidRPr="007E5C1C">
        <w:rPr>
          <w:rFonts w:ascii="Times" w:hAnsi="Times"/>
          <w:lang w:val="fr-FR"/>
        </w:rPr>
        <w:t xml:space="preserve">, </w:t>
      </w:r>
      <w:r w:rsidR="00583CDB" w:rsidRPr="007E5C1C">
        <w:rPr>
          <w:rFonts w:ascii="Times" w:hAnsi="Times"/>
          <w:lang w:val="fr-FR"/>
        </w:rPr>
        <w:t>en apparence</w:t>
      </w:r>
      <w:r w:rsidR="007E5C1C">
        <w:rPr>
          <w:rFonts w:ascii="Times" w:hAnsi="Times"/>
          <w:lang w:val="fr-FR"/>
        </w:rPr>
        <w:t>,</w:t>
      </w:r>
      <w:r w:rsidR="00583CDB" w:rsidRPr="007E5C1C">
        <w:rPr>
          <w:rFonts w:ascii="Times" w:hAnsi="Times"/>
          <w:lang w:val="fr-FR"/>
        </w:rPr>
        <w:t xml:space="preserve"> </w:t>
      </w:r>
      <w:r w:rsidRPr="007E5C1C">
        <w:rPr>
          <w:rFonts w:ascii="Times" w:hAnsi="Times"/>
          <w:lang w:val="fr-FR"/>
        </w:rPr>
        <w:t xml:space="preserve">à incriminer la négation de l’ensemble des </w:t>
      </w:r>
      <w:r w:rsidR="007516CA" w:rsidRPr="007E5C1C">
        <w:rPr>
          <w:rFonts w:ascii="Times" w:hAnsi="Times"/>
          <w:lang w:val="fr-FR"/>
        </w:rPr>
        <w:t>g</w:t>
      </w:r>
      <w:r w:rsidR="007E5C1C" w:rsidRPr="007E5C1C">
        <w:rPr>
          <w:rFonts w:ascii="Times" w:hAnsi="Times"/>
          <w:lang w:val="fr-FR"/>
        </w:rPr>
        <w:t>é</w:t>
      </w:r>
      <w:r w:rsidR="007516CA" w:rsidRPr="007E5C1C">
        <w:rPr>
          <w:rFonts w:ascii="Times" w:hAnsi="Times"/>
          <w:lang w:val="fr-FR"/>
        </w:rPr>
        <w:t>nocides</w:t>
      </w:r>
      <w:r w:rsidR="007E5C1C" w:rsidRPr="007E5C1C">
        <w:rPr>
          <w:rFonts w:ascii="Times" w:hAnsi="Times"/>
          <w:lang w:val="fr-FR"/>
        </w:rPr>
        <w:t> tels qu’ils sont définis par le Statut de Rome de 1998 et par le Code pénal français</w:t>
      </w:r>
      <w:r w:rsidR="007E5C1C">
        <w:rPr>
          <w:rFonts w:ascii="Times" w:hAnsi="Times"/>
          <w:lang w:val="fr-FR"/>
        </w:rPr>
        <w:t xml:space="preserve"> </w:t>
      </w:r>
      <w:r w:rsidR="007E5C1C" w:rsidRPr="007E5C1C">
        <w:rPr>
          <w:rFonts w:ascii="Times" w:hAnsi="Times"/>
          <w:lang w:val="fr-FR"/>
        </w:rPr>
        <w:t>:</w:t>
      </w:r>
    </w:p>
    <w:p w14:paraId="36CBD112" w14:textId="20ECB105" w:rsidR="007516CA" w:rsidRPr="007E5C1C" w:rsidRDefault="007E5C1C" w:rsidP="007E5C1C">
      <w:pPr>
        <w:pStyle w:val="Pardeliste"/>
        <w:numPr>
          <w:ilvl w:val="0"/>
          <w:numId w:val="10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</w:t>
      </w:r>
      <w:r w:rsidR="00FF3DA6" w:rsidRPr="007E5C1C">
        <w:rPr>
          <w:rFonts w:ascii="Times" w:hAnsi="Times"/>
          <w:sz w:val="24"/>
          <w:szCs w:val="24"/>
        </w:rPr>
        <w:t>orsque ces génocides ont été reconnus par une juridiction nationale ou internationale</w:t>
      </w:r>
      <w:r>
        <w:rPr>
          <w:rFonts w:ascii="Times" w:hAnsi="Times"/>
          <w:sz w:val="24"/>
          <w:szCs w:val="24"/>
        </w:rPr>
        <w:t> ;</w:t>
      </w:r>
    </w:p>
    <w:p w14:paraId="244166A2" w14:textId="771C2FC1" w:rsidR="00FF3DA6" w:rsidRPr="007E5C1C" w:rsidRDefault="007E5C1C" w:rsidP="007E5C1C">
      <w:pPr>
        <w:pStyle w:val="Pardeliste"/>
        <w:numPr>
          <w:ilvl w:val="0"/>
          <w:numId w:val="10"/>
        </w:numPr>
        <w:jc w:val="both"/>
        <w:rPr>
          <w:rFonts w:ascii="Times" w:hAnsi="Times"/>
          <w:sz w:val="24"/>
          <w:szCs w:val="24"/>
        </w:rPr>
      </w:pPr>
      <w:r w:rsidRPr="007E5C1C">
        <w:rPr>
          <w:rFonts w:ascii="Times" w:hAnsi="Times"/>
          <w:sz w:val="24"/>
          <w:szCs w:val="24"/>
        </w:rPr>
        <w:t>«</w:t>
      </w:r>
      <w:r w:rsidRPr="007E5C1C">
        <w:rPr>
          <w:rFonts w:ascii="Calibri" w:eastAsia="Calibri" w:hAnsi="Calibri" w:cs="Calibri"/>
          <w:sz w:val="24"/>
          <w:szCs w:val="24"/>
        </w:rPr>
        <w:t> </w:t>
      </w:r>
      <w:r w:rsidR="00E465BA" w:rsidRPr="007E5C1C">
        <w:rPr>
          <w:rFonts w:ascii="Times" w:hAnsi="Times"/>
          <w:sz w:val="24"/>
          <w:szCs w:val="24"/>
        </w:rPr>
        <w:t>OU</w:t>
      </w:r>
      <w:r w:rsidRPr="007E5C1C">
        <w:rPr>
          <w:rFonts w:ascii="Calibri" w:eastAsia="Calibri" w:hAnsi="Calibri" w:cs="Calibri"/>
          <w:sz w:val="24"/>
          <w:szCs w:val="24"/>
        </w:rPr>
        <w:t> </w:t>
      </w:r>
      <w:r w:rsidRPr="007E5C1C">
        <w:rPr>
          <w:rFonts w:ascii="Times" w:hAnsi="Times"/>
          <w:sz w:val="24"/>
          <w:szCs w:val="24"/>
        </w:rPr>
        <w:t>»</w:t>
      </w:r>
      <w:r w:rsidR="00FF3DA6" w:rsidRPr="007E5C1C">
        <w:rPr>
          <w:rFonts w:ascii="Times" w:hAnsi="Times"/>
          <w:sz w:val="24"/>
          <w:szCs w:val="24"/>
        </w:rPr>
        <w:t xml:space="preserve"> lorsque leur négation, leur minoration ou leur banalisation constitue une incitation à la violence ou à la haine. </w:t>
      </w:r>
    </w:p>
    <w:p w14:paraId="01518588" w14:textId="4666E0FE" w:rsidR="007516CA" w:rsidRPr="007E5C1C" w:rsidRDefault="00FF3DA6" w:rsidP="007516CA">
      <w:pPr>
        <w:jc w:val="both"/>
        <w:rPr>
          <w:rFonts w:ascii="Times" w:hAnsi="Times"/>
          <w:lang w:val="fr-FR"/>
        </w:rPr>
      </w:pPr>
      <w:r w:rsidRPr="007E5C1C">
        <w:rPr>
          <w:rFonts w:ascii="Times" w:hAnsi="Times"/>
          <w:lang w:val="fr-FR"/>
        </w:rPr>
        <w:tab/>
      </w:r>
    </w:p>
    <w:p w14:paraId="4E07F80A" w14:textId="65C36F9E" w:rsidR="00FF3DA6" w:rsidRDefault="005B2A3D" w:rsidP="00946CD3">
      <w:pPr>
        <w:ind w:firstLine="360"/>
        <w:jc w:val="both"/>
        <w:rPr>
          <w:rFonts w:ascii="Times" w:hAnsi="Times"/>
          <w:b/>
          <w:u w:val="single"/>
          <w:lang w:val="fr-FR"/>
        </w:rPr>
      </w:pPr>
      <w:r>
        <w:rPr>
          <w:rFonts w:ascii="Times" w:hAnsi="Times"/>
          <w:lang w:val="fr-FR"/>
        </w:rPr>
        <w:t>E</w:t>
      </w:r>
      <w:r w:rsidR="00583CDB" w:rsidRPr="007E5C1C">
        <w:rPr>
          <w:rFonts w:ascii="Times" w:hAnsi="Times"/>
          <w:lang w:val="fr-FR"/>
        </w:rPr>
        <w:t xml:space="preserve">n réalité, </w:t>
      </w:r>
      <w:r w:rsidR="007E5C1C">
        <w:rPr>
          <w:rFonts w:ascii="Times" w:hAnsi="Times"/>
          <w:lang w:val="fr-FR"/>
        </w:rPr>
        <w:t>ce nouveau dispositif</w:t>
      </w:r>
      <w:r w:rsidR="007516CA" w:rsidRPr="007E5C1C">
        <w:rPr>
          <w:rFonts w:ascii="Times" w:hAnsi="Times"/>
          <w:lang w:val="fr-FR"/>
        </w:rPr>
        <w:t xml:space="preserve"> </w:t>
      </w:r>
      <w:r w:rsidR="00FF3DA6" w:rsidRPr="007E5C1C">
        <w:rPr>
          <w:rFonts w:ascii="Times" w:hAnsi="Times"/>
          <w:lang w:val="fr-FR"/>
        </w:rPr>
        <w:t>cherche implicitement mais nécessairement à incriminer la négation du génocide arménien et s’inscrit dans la continuité de la proposition de loi du 23</w:t>
      </w:r>
      <w:r w:rsidR="007E5C1C">
        <w:rPr>
          <w:rFonts w:ascii="Times" w:hAnsi="Times"/>
          <w:lang w:val="fr-FR"/>
        </w:rPr>
        <w:t> </w:t>
      </w:r>
      <w:r w:rsidR="00FF3DA6" w:rsidRPr="007E5C1C">
        <w:rPr>
          <w:rFonts w:ascii="Times" w:hAnsi="Times"/>
          <w:lang w:val="fr-FR"/>
        </w:rPr>
        <w:t>janvier 2012 visant à réprimer la contestation de l’existence des génocides reconnus par la loi, proposition de loi censurée par le Conseil constitutionnel le 28 février 2012 (décision n°</w:t>
      </w:r>
      <w:r w:rsidR="007E5C1C" w:rsidRPr="007E5C1C">
        <w:rPr>
          <w:rFonts w:ascii="Times" w:hAnsi="Times"/>
          <w:lang w:val="fr-FR"/>
        </w:rPr>
        <w:t> </w:t>
      </w:r>
      <w:r w:rsidR="00FF3DA6" w:rsidRPr="007E5C1C">
        <w:rPr>
          <w:rFonts w:ascii="Times" w:hAnsi="Times"/>
          <w:lang w:val="fr-FR"/>
        </w:rPr>
        <w:t>2012-647 DC)</w:t>
      </w:r>
      <w:r w:rsidR="002574BD">
        <w:rPr>
          <w:rFonts w:ascii="Times" w:hAnsi="Times"/>
          <w:lang w:val="fr-FR"/>
        </w:rPr>
        <w:t xml:space="preserve">. </w:t>
      </w:r>
      <w:r w:rsidR="0018499C" w:rsidRPr="007E5C1C">
        <w:rPr>
          <w:rFonts w:ascii="Times" w:hAnsi="Times"/>
          <w:lang w:val="fr-FR"/>
        </w:rPr>
        <w:t xml:space="preserve"> </w:t>
      </w:r>
      <w:r w:rsidR="00946CD3">
        <w:rPr>
          <w:rFonts w:ascii="Times" w:hAnsi="Times"/>
          <w:lang w:val="fr-FR"/>
        </w:rPr>
        <w:t xml:space="preserve"> </w:t>
      </w:r>
    </w:p>
    <w:p w14:paraId="13897466" w14:textId="77777777" w:rsidR="007E5C1C" w:rsidRPr="007E5C1C" w:rsidRDefault="007E5C1C" w:rsidP="00E465BA">
      <w:pPr>
        <w:jc w:val="both"/>
        <w:rPr>
          <w:rFonts w:ascii="Times" w:hAnsi="Times"/>
          <w:b/>
          <w:u w:val="single"/>
          <w:lang w:val="fr-FR"/>
        </w:rPr>
      </w:pPr>
    </w:p>
    <w:p w14:paraId="22C374B2" w14:textId="0F4DA13E" w:rsidR="00FF3DA6" w:rsidRDefault="00FF3DA6" w:rsidP="00FF3DA6">
      <w:pPr>
        <w:jc w:val="both"/>
        <w:rPr>
          <w:rFonts w:ascii="Times" w:hAnsi="Times"/>
          <w:lang w:val="fr-FR"/>
        </w:rPr>
      </w:pPr>
      <w:r w:rsidRPr="007E5C1C">
        <w:rPr>
          <w:rFonts w:ascii="Times" w:hAnsi="Times"/>
          <w:lang w:val="fr-FR"/>
        </w:rPr>
        <w:tab/>
      </w:r>
      <w:r w:rsidR="00E465BA" w:rsidRPr="007E5C1C">
        <w:rPr>
          <w:rFonts w:ascii="Times" w:hAnsi="Times"/>
          <w:lang w:val="fr-FR"/>
        </w:rPr>
        <w:t>Le</w:t>
      </w:r>
      <w:r w:rsidRPr="007E5C1C">
        <w:rPr>
          <w:rFonts w:ascii="Times" w:hAnsi="Times"/>
          <w:lang w:val="fr-FR"/>
        </w:rPr>
        <w:t xml:space="preserve"> dispositif répressif mis en place contrevient à plusieurs principes à valeur constitutionnelle garantis par le Conseil constitutionnel</w:t>
      </w:r>
      <w:r w:rsidR="007E5C1C" w:rsidRPr="007E5C1C">
        <w:rPr>
          <w:rFonts w:ascii="Times" w:hAnsi="Times"/>
          <w:lang w:val="fr-FR"/>
        </w:rPr>
        <w:t> </w:t>
      </w:r>
      <w:r w:rsidRPr="007E5C1C">
        <w:rPr>
          <w:rFonts w:ascii="Times" w:hAnsi="Times"/>
          <w:lang w:val="fr-FR"/>
        </w:rPr>
        <w:t>:</w:t>
      </w:r>
    </w:p>
    <w:p w14:paraId="1B431C43" w14:textId="77777777" w:rsidR="007E5C1C" w:rsidRPr="007E5C1C" w:rsidRDefault="007E5C1C" w:rsidP="00FF3DA6">
      <w:pPr>
        <w:jc w:val="both"/>
        <w:rPr>
          <w:rFonts w:ascii="Times" w:hAnsi="Times"/>
          <w:lang w:val="fr-FR"/>
        </w:rPr>
      </w:pPr>
    </w:p>
    <w:p w14:paraId="3F609B11" w14:textId="2C57EBE4" w:rsidR="00FF3DA6" w:rsidRPr="007E5C1C" w:rsidRDefault="007E5C1C" w:rsidP="00FF3DA6">
      <w:pPr>
        <w:jc w:val="both"/>
        <w:rPr>
          <w:rFonts w:ascii="Times" w:hAnsi="Times"/>
          <w:lang w:val="fr-FR"/>
        </w:rPr>
      </w:pPr>
      <w:r w:rsidRPr="007E5C1C">
        <w:rPr>
          <w:rFonts w:ascii="Times" w:hAnsi="Times"/>
          <w:lang w:val="fr-FR"/>
        </w:rPr>
        <w:t>–</w:t>
      </w:r>
      <w:r>
        <w:rPr>
          <w:rFonts w:ascii="Times" w:hAnsi="Times"/>
          <w:lang w:val="fr-FR"/>
        </w:rPr>
        <w:t xml:space="preserve"> </w:t>
      </w:r>
      <w:r w:rsidR="00FF3DA6" w:rsidRPr="007E5C1C">
        <w:rPr>
          <w:rFonts w:ascii="Times" w:hAnsi="Times"/>
          <w:b/>
          <w:lang w:val="fr-FR"/>
        </w:rPr>
        <w:t>L’atteinte aux principes de légalité des délits et des peines</w:t>
      </w:r>
      <w:r w:rsidRPr="007E5C1C">
        <w:rPr>
          <w:rFonts w:ascii="Times" w:hAnsi="Times"/>
          <w:lang w:val="fr-FR"/>
        </w:rPr>
        <w:t> </w:t>
      </w:r>
      <w:r w:rsidR="00FF3DA6" w:rsidRPr="007E5C1C">
        <w:rPr>
          <w:rFonts w:ascii="Times" w:hAnsi="Times"/>
          <w:lang w:val="fr-FR"/>
        </w:rPr>
        <w:t xml:space="preserve">: </w:t>
      </w:r>
      <w:r w:rsidR="00583CDB" w:rsidRPr="007E5C1C">
        <w:rPr>
          <w:rFonts w:ascii="Times" w:hAnsi="Times"/>
          <w:lang w:val="fr-FR"/>
        </w:rPr>
        <w:t>L</w:t>
      </w:r>
      <w:r w:rsidR="00FF3DA6" w:rsidRPr="007E5C1C">
        <w:rPr>
          <w:rFonts w:ascii="Times" w:hAnsi="Times"/>
          <w:lang w:val="fr-FR"/>
        </w:rPr>
        <w:t>’article</w:t>
      </w:r>
      <w:r w:rsidRPr="007E5C1C">
        <w:rPr>
          <w:rFonts w:ascii="Times" w:hAnsi="Times"/>
          <w:lang w:val="fr-FR"/>
        </w:rPr>
        <w:t> </w:t>
      </w:r>
      <w:r w:rsidR="00FF3DA6" w:rsidRPr="007E5C1C">
        <w:rPr>
          <w:rFonts w:ascii="Times" w:hAnsi="Times"/>
          <w:lang w:val="fr-FR"/>
        </w:rPr>
        <w:t>38 ter ne définit nullement l’élément matériel constitutif de l’infraction (la négation, la minoration ou la banalisation) et le rattache sans précision à l’élément moral («</w:t>
      </w:r>
      <w:r w:rsidRPr="007E5C1C">
        <w:rPr>
          <w:rFonts w:ascii="Calibri" w:eastAsia="Calibri" w:hAnsi="Calibri" w:cs="Calibri"/>
          <w:lang w:val="fr-FR"/>
        </w:rPr>
        <w:t> </w:t>
      </w:r>
      <w:r w:rsidR="00FF3DA6" w:rsidRPr="007E5C1C">
        <w:rPr>
          <w:rFonts w:ascii="Times" w:hAnsi="Times"/>
          <w:lang w:val="fr-FR"/>
        </w:rPr>
        <w:t>incitation à la violence ou à la haine</w:t>
      </w:r>
      <w:r w:rsidRPr="007E5C1C">
        <w:rPr>
          <w:rFonts w:ascii="Calibri" w:eastAsia="Calibri" w:hAnsi="Calibri" w:cs="Calibri"/>
          <w:lang w:val="fr-FR"/>
        </w:rPr>
        <w:t> </w:t>
      </w:r>
      <w:r w:rsidR="00FF3DA6" w:rsidRPr="007E5C1C">
        <w:rPr>
          <w:rFonts w:ascii="Times" w:hAnsi="Times"/>
          <w:lang w:val="fr-FR"/>
        </w:rPr>
        <w:t xml:space="preserve">»). Ce faisant, en ne fixant pas précisément le champ d’application du dispositif répressif, le législateur n’épuise pas pleinement sa compétence et </w:t>
      </w:r>
      <w:r w:rsidR="00AB16CD" w:rsidRPr="007E5C1C">
        <w:rPr>
          <w:rFonts w:ascii="Times" w:hAnsi="Times"/>
          <w:lang w:val="fr-FR"/>
        </w:rPr>
        <w:t xml:space="preserve">confie </w:t>
      </w:r>
      <w:r w:rsidR="00FF3DA6" w:rsidRPr="007E5C1C">
        <w:rPr>
          <w:rFonts w:ascii="Times" w:hAnsi="Times"/>
          <w:lang w:val="fr-FR"/>
        </w:rPr>
        <w:t xml:space="preserve">au juge le soin de déterminer le contenu et la portée de l’infraction. </w:t>
      </w:r>
      <w:r w:rsidR="00AB16CD" w:rsidRPr="007E5C1C">
        <w:rPr>
          <w:rFonts w:ascii="Times" w:hAnsi="Times"/>
          <w:lang w:val="fr-FR"/>
        </w:rPr>
        <w:t xml:space="preserve"> </w:t>
      </w:r>
    </w:p>
    <w:p w14:paraId="7829C32C" w14:textId="77777777" w:rsidR="00FF3DA6" w:rsidRPr="007E5C1C" w:rsidRDefault="00FF3DA6" w:rsidP="00FF3DA6">
      <w:pPr>
        <w:jc w:val="both"/>
        <w:rPr>
          <w:rFonts w:ascii="Times" w:hAnsi="Times"/>
          <w:lang w:val="fr-FR"/>
        </w:rPr>
      </w:pPr>
    </w:p>
    <w:p w14:paraId="7F60AC88" w14:textId="36869E82" w:rsidR="00583CDB" w:rsidRPr="007E5C1C" w:rsidRDefault="007E5C1C" w:rsidP="00FF3DA6">
      <w:pPr>
        <w:jc w:val="both"/>
        <w:rPr>
          <w:rFonts w:ascii="Times" w:hAnsi="Times"/>
          <w:b/>
          <w:lang w:val="fr-FR"/>
        </w:rPr>
      </w:pPr>
      <w:r w:rsidRPr="007E5C1C">
        <w:rPr>
          <w:rFonts w:ascii="Times" w:hAnsi="Times"/>
          <w:lang w:val="fr-FR"/>
        </w:rPr>
        <w:t>–</w:t>
      </w:r>
      <w:r>
        <w:rPr>
          <w:rFonts w:ascii="Times" w:hAnsi="Times"/>
          <w:lang w:val="fr-FR"/>
        </w:rPr>
        <w:t xml:space="preserve"> </w:t>
      </w:r>
      <w:r w:rsidR="00FF3DA6" w:rsidRPr="007E5C1C">
        <w:rPr>
          <w:rFonts w:ascii="Times" w:hAnsi="Times"/>
          <w:b/>
          <w:lang w:val="fr-FR"/>
        </w:rPr>
        <w:t xml:space="preserve">L’atteinte au principe de proportionnalité des délits et des </w:t>
      </w:r>
      <w:r w:rsidR="00E465BA" w:rsidRPr="007E5C1C">
        <w:rPr>
          <w:rFonts w:ascii="Times" w:hAnsi="Times"/>
          <w:b/>
          <w:lang w:val="fr-FR"/>
        </w:rPr>
        <w:t>peines</w:t>
      </w:r>
      <w:r w:rsidRPr="007E5C1C">
        <w:rPr>
          <w:rFonts w:ascii="Times" w:hAnsi="Times"/>
          <w:b/>
          <w:lang w:val="fr-FR"/>
        </w:rPr>
        <w:t xml:space="preserve"> : </w:t>
      </w:r>
    </w:p>
    <w:p w14:paraId="197E8178" w14:textId="1F21F2B2" w:rsidR="00AB16CD" w:rsidRPr="007E5C1C" w:rsidRDefault="007E5C1C" w:rsidP="007E5C1C">
      <w:pPr>
        <w:pStyle w:val="Pardeliste"/>
        <w:numPr>
          <w:ilvl w:val="0"/>
          <w:numId w:val="11"/>
        </w:numPr>
        <w:jc w:val="both"/>
        <w:rPr>
          <w:rFonts w:ascii="Times" w:hAnsi="Times"/>
          <w:sz w:val="24"/>
          <w:szCs w:val="24"/>
        </w:rPr>
      </w:pPr>
      <w:r w:rsidRPr="007E5C1C">
        <w:rPr>
          <w:rFonts w:ascii="Times" w:hAnsi="Times"/>
          <w:sz w:val="24"/>
          <w:szCs w:val="24"/>
        </w:rPr>
        <w:t>Un</w:t>
      </w:r>
      <w:r w:rsidR="00FF3DA6" w:rsidRPr="007E5C1C">
        <w:rPr>
          <w:rFonts w:ascii="Times" w:hAnsi="Times"/>
          <w:sz w:val="24"/>
          <w:szCs w:val="24"/>
        </w:rPr>
        <w:t xml:space="preserve"> même fait (la négation d’un génocide incitant à la haine ou à la violence) peut tomber sous le coup de deux incriminations différentes</w:t>
      </w:r>
      <w:r w:rsidRPr="007E5C1C">
        <w:rPr>
          <w:rFonts w:ascii="Times" w:hAnsi="Times"/>
          <w:sz w:val="24"/>
          <w:szCs w:val="24"/>
        </w:rPr>
        <w:t> </w:t>
      </w:r>
      <w:r w:rsidR="00FF3DA6" w:rsidRPr="007E5C1C">
        <w:rPr>
          <w:rFonts w:ascii="Times" w:hAnsi="Times"/>
          <w:sz w:val="24"/>
          <w:szCs w:val="24"/>
        </w:rPr>
        <w:t>: l’incitation à la haine ou à la violence inscrit à l’article</w:t>
      </w:r>
      <w:r w:rsidRPr="007E5C1C">
        <w:rPr>
          <w:rFonts w:ascii="Times" w:hAnsi="Times"/>
          <w:sz w:val="24"/>
          <w:szCs w:val="24"/>
        </w:rPr>
        <w:t> </w:t>
      </w:r>
      <w:r w:rsidR="00FF3DA6" w:rsidRPr="007E5C1C">
        <w:rPr>
          <w:rFonts w:ascii="Times" w:hAnsi="Times"/>
          <w:sz w:val="24"/>
          <w:szCs w:val="24"/>
        </w:rPr>
        <w:t>24 alinéa</w:t>
      </w:r>
      <w:r w:rsidRPr="007E5C1C">
        <w:rPr>
          <w:rFonts w:ascii="Times" w:hAnsi="Times"/>
          <w:sz w:val="24"/>
          <w:szCs w:val="24"/>
        </w:rPr>
        <w:t> </w:t>
      </w:r>
      <w:r w:rsidR="00FF3DA6" w:rsidRPr="007E5C1C">
        <w:rPr>
          <w:rFonts w:ascii="Times" w:hAnsi="Times"/>
          <w:sz w:val="24"/>
          <w:szCs w:val="24"/>
        </w:rPr>
        <w:t>5 de la loi du 29 juillet 1881 et le nouveau régime répressif relatif à la négation des génocides introduit par le nouvel article</w:t>
      </w:r>
      <w:r w:rsidRPr="007E5C1C">
        <w:rPr>
          <w:rFonts w:ascii="Times" w:hAnsi="Times"/>
          <w:sz w:val="24"/>
          <w:szCs w:val="24"/>
        </w:rPr>
        <w:t> </w:t>
      </w:r>
      <w:r w:rsidR="00FF3DA6" w:rsidRPr="007E5C1C">
        <w:rPr>
          <w:rFonts w:ascii="Times" w:hAnsi="Times"/>
          <w:sz w:val="24"/>
          <w:szCs w:val="24"/>
        </w:rPr>
        <w:t xml:space="preserve">38 ter du projet de loi relative à l’égalité et à la citoyenneté. </w:t>
      </w:r>
      <w:r w:rsidR="00583CDB" w:rsidRPr="007E5C1C">
        <w:rPr>
          <w:rFonts w:ascii="Times" w:hAnsi="Times"/>
          <w:sz w:val="24"/>
          <w:szCs w:val="24"/>
        </w:rPr>
        <w:t xml:space="preserve"> </w:t>
      </w:r>
    </w:p>
    <w:p w14:paraId="052FCE6E" w14:textId="2D61EC78" w:rsidR="00FF3DA6" w:rsidRPr="007E5C1C" w:rsidRDefault="007E5C1C" w:rsidP="007E5C1C">
      <w:pPr>
        <w:pStyle w:val="Pardeliste"/>
        <w:numPr>
          <w:ilvl w:val="0"/>
          <w:numId w:val="11"/>
        </w:numPr>
        <w:jc w:val="both"/>
        <w:rPr>
          <w:rFonts w:ascii="Times" w:hAnsi="Times"/>
          <w:sz w:val="24"/>
          <w:szCs w:val="24"/>
        </w:rPr>
      </w:pPr>
      <w:r w:rsidRPr="007E5C1C">
        <w:rPr>
          <w:rFonts w:ascii="Times" w:hAnsi="Times"/>
          <w:sz w:val="24"/>
          <w:szCs w:val="24"/>
        </w:rPr>
        <w:lastRenderedPageBreak/>
        <w:t>La</w:t>
      </w:r>
      <w:r w:rsidR="00FF3DA6" w:rsidRPr="007E5C1C">
        <w:rPr>
          <w:rFonts w:ascii="Times" w:hAnsi="Times"/>
          <w:sz w:val="24"/>
          <w:szCs w:val="24"/>
        </w:rPr>
        <w:t xml:space="preserve"> distinction entre l’apologie de crimes de génocide (art. 24 alinéa</w:t>
      </w:r>
      <w:r w:rsidRPr="007E5C1C">
        <w:rPr>
          <w:rFonts w:ascii="Times" w:hAnsi="Times"/>
          <w:sz w:val="24"/>
          <w:szCs w:val="24"/>
        </w:rPr>
        <w:t> </w:t>
      </w:r>
      <w:r w:rsidR="00FF3DA6" w:rsidRPr="007E5C1C">
        <w:rPr>
          <w:rFonts w:ascii="Times" w:hAnsi="Times"/>
          <w:sz w:val="24"/>
          <w:szCs w:val="24"/>
        </w:rPr>
        <w:t xml:space="preserve">3) et la négation d’un génocide incitant à la haine ou à la violence paraît </w:t>
      </w:r>
      <w:r w:rsidR="00AB16CD" w:rsidRPr="007E5C1C">
        <w:rPr>
          <w:rFonts w:ascii="Times" w:hAnsi="Times"/>
          <w:sz w:val="24"/>
          <w:szCs w:val="24"/>
        </w:rPr>
        <w:t xml:space="preserve">en outre </w:t>
      </w:r>
      <w:r w:rsidR="00FF3DA6" w:rsidRPr="007E5C1C">
        <w:rPr>
          <w:rFonts w:ascii="Times" w:hAnsi="Times"/>
          <w:sz w:val="24"/>
          <w:szCs w:val="24"/>
        </w:rPr>
        <w:t>grandement incertaine</w:t>
      </w:r>
      <w:r w:rsidR="00946CD3">
        <w:rPr>
          <w:rFonts w:ascii="Times" w:hAnsi="Times"/>
          <w:sz w:val="24"/>
          <w:szCs w:val="24"/>
        </w:rPr>
        <w:t> :</w:t>
      </w:r>
      <w:r w:rsidR="00FF3DA6" w:rsidRPr="007E5C1C">
        <w:rPr>
          <w:rFonts w:ascii="Times" w:hAnsi="Times"/>
          <w:sz w:val="24"/>
          <w:szCs w:val="24"/>
        </w:rPr>
        <w:t>un même propos relatif à un génocide peut tomber sous le coup de trois régimes répressifs différents</w:t>
      </w:r>
      <w:r w:rsidRPr="007E5C1C">
        <w:rPr>
          <w:rFonts w:ascii="Times" w:hAnsi="Times"/>
          <w:sz w:val="24"/>
          <w:szCs w:val="24"/>
        </w:rPr>
        <w:t> </w:t>
      </w:r>
      <w:r w:rsidR="00FF3DA6" w:rsidRPr="007E5C1C">
        <w:rPr>
          <w:rFonts w:ascii="Times" w:hAnsi="Times"/>
          <w:sz w:val="24"/>
          <w:szCs w:val="24"/>
        </w:rPr>
        <w:t>: l’incitation à la haine, la banalisation de génocide, l’apologie de génocide</w:t>
      </w:r>
      <w:r w:rsidR="004617DD" w:rsidRPr="007E5C1C">
        <w:rPr>
          <w:rFonts w:ascii="Times" w:hAnsi="Times"/>
          <w:sz w:val="24"/>
          <w:szCs w:val="24"/>
        </w:rPr>
        <w:t>…</w:t>
      </w:r>
      <w:r w:rsidR="00AB16CD" w:rsidRPr="007E5C1C">
        <w:rPr>
          <w:rFonts w:ascii="Times" w:hAnsi="Times"/>
          <w:sz w:val="24"/>
          <w:szCs w:val="24"/>
        </w:rPr>
        <w:t xml:space="preserve"> </w:t>
      </w:r>
    </w:p>
    <w:p w14:paraId="160EFAF3" w14:textId="77777777" w:rsidR="00FF3DA6" w:rsidRPr="007E5C1C" w:rsidRDefault="00FF3DA6" w:rsidP="00FF3DA6">
      <w:pPr>
        <w:jc w:val="both"/>
        <w:rPr>
          <w:rFonts w:ascii="Times" w:hAnsi="Times"/>
          <w:lang w:val="fr-FR"/>
        </w:rPr>
      </w:pPr>
    </w:p>
    <w:p w14:paraId="57BDFD77" w14:textId="173B5F59" w:rsidR="00FF3DA6" w:rsidRPr="007E5C1C" w:rsidRDefault="007E5C1C" w:rsidP="00FF3DA6">
      <w:pPr>
        <w:jc w:val="both"/>
        <w:rPr>
          <w:rFonts w:ascii="Times" w:hAnsi="Times"/>
          <w:lang w:val="fr-FR"/>
        </w:rPr>
      </w:pPr>
      <w:r w:rsidRPr="007E5C1C">
        <w:rPr>
          <w:rFonts w:ascii="Times" w:hAnsi="Times"/>
          <w:lang w:val="fr-FR"/>
        </w:rPr>
        <w:t>–</w:t>
      </w:r>
      <w:r>
        <w:rPr>
          <w:rFonts w:ascii="Times" w:hAnsi="Times"/>
          <w:lang w:val="fr-FR"/>
        </w:rPr>
        <w:t xml:space="preserve"> </w:t>
      </w:r>
      <w:r w:rsidR="00FF3DA6" w:rsidRPr="007E5C1C">
        <w:rPr>
          <w:rFonts w:ascii="Times" w:hAnsi="Times"/>
          <w:b/>
          <w:lang w:val="fr-FR"/>
        </w:rPr>
        <w:t>L’atteinte au principe d’égalité devant la loi pénale</w:t>
      </w:r>
      <w:r w:rsidRPr="007E5C1C">
        <w:rPr>
          <w:rFonts w:ascii="Times" w:hAnsi="Times"/>
          <w:b/>
          <w:lang w:val="fr-FR"/>
        </w:rPr>
        <w:t> </w:t>
      </w:r>
      <w:r>
        <w:rPr>
          <w:rFonts w:ascii="Times" w:hAnsi="Times"/>
          <w:lang w:val="fr-FR"/>
        </w:rPr>
        <w:t>:</w:t>
      </w:r>
      <w:r w:rsidR="00583CDB" w:rsidRPr="007E5C1C">
        <w:rPr>
          <w:rFonts w:ascii="Times" w:hAnsi="Times"/>
          <w:lang w:val="fr-FR"/>
        </w:rPr>
        <w:t xml:space="preserve"> A</w:t>
      </w:r>
      <w:r w:rsidR="00FF3DA6" w:rsidRPr="007E5C1C">
        <w:rPr>
          <w:rFonts w:ascii="Times" w:hAnsi="Times"/>
          <w:lang w:val="fr-FR"/>
        </w:rPr>
        <w:t>lors qu’il faut «</w:t>
      </w:r>
      <w:r w:rsidR="00FF3DA6" w:rsidRPr="007E5C1C">
        <w:rPr>
          <w:rFonts w:ascii="Calibri" w:eastAsia="Calibri" w:hAnsi="Calibri" w:cs="Calibri"/>
          <w:lang w:val="fr-FR"/>
        </w:rPr>
        <w:t> </w:t>
      </w:r>
      <w:r w:rsidR="00FF3DA6" w:rsidRPr="007E5C1C">
        <w:rPr>
          <w:rFonts w:ascii="Times" w:hAnsi="Times"/>
          <w:lang w:val="fr-FR"/>
        </w:rPr>
        <w:t>contester</w:t>
      </w:r>
      <w:r w:rsidR="00FF3DA6" w:rsidRPr="007E5C1C">
        <w:rPr>
          <w:rFonts w:ascii="Calibri" w:eastAsia="Calibri" w:hAnsi="Calibri" w:cs="Calibri"/>
          <w:lang w:val="fr-FR"/>
        </w:rPr>
        <w:t> </w:t>
      </w:r>
      <w:r w:rsidR="00FF3DA6" w:rsidRPr="007E5C1C">
        <w:rPr>
          <w:rFonts w:ascii="Times" w:hAnsi="Times"/>
          <w:lang w:val="fr-FR"/>
        </w:rPr>
        <w:t>» la Shoah pour déclencher le régime répressif de l’article</w:t>
      </w:r>
      <w:r w:rsidRPr="007E5C1C">
        <w:rPr>
          <w:rFonts w:ascii="Times" w:hAnsi="Times"/>
          <w:lang w:val="fr-FR"/>
        </w:rPr>
        <w:t> </w:t>
      </w:r>
      <w:r w:rsidR="00FF3DA6" w:rsidRPr="007E5C1C">
        <w:rPr>
          <w:rFonts w:ascii="Times" w:hAnsi="Times"/>
          <w:lang w:val="fr-FR"/>
        </w:rPr>
        <w:t>24 bis de la loi du 29 juillet 1881, il suffit de «</w:t>
      </w:r>
      <w:r w:rsidR="00FF3DA6" w:rsidRPr="007E5C1C">
        <w:rPr>
          <w:rFonts w:ascii="Calibri" w:eastAsia="Calibri" w:hAnsi="Calibri" w:cs="Calibri"/>
          <w:lang w:val="fr-FR"/>
        </w:rPr>
        <w:t> </w:t>
      </w:r>
      <w:r w:rsidR="00FF3DA6" w:rsidRPr="007E5C1C">
        <w:rPr>
          <w:rFonts w:ascii="Times" w:hAnsi="Times"/>
          <w:lang w:val="fr-FR"/>
        </w:rPr>
        <w:t>minorer</w:t>
      </w:r>
      <w:r w:rsidR="00FF3DA6" w:rsidRPr="007E5C1C">
        <w:rPr>
          <w:rFonts w:ascii="Calibri" w:eastAsia="Calibri" w:hAnsi="Calibri" w:cs="Calibri"/>
          <w:lang w:val="fr-FR"/>
        </w:rPr>
        <w:t> </w:t>
      </w:r>
      <w:r w:rsidR="00FF3DA6" w:rsidRPr="007E5C1C">
        <w:rPr>
          <w:rFonts w:ascii="Times" w:hAnsi="Times"/>
          <w:lang w:val="fr-FR"/>
        </w:rPr>
        <w:t>» ou «</w:t>
      </w:r>
      <w:r w:rsidR="00FF3DA6" w:rsidRPr="007E5C1C">
        <w:rPr>
          <w:rFonts w:ascii="Calibri" w:eastAsia="Calibri" w:hAnsi="Calibri" w:cs="Calibri"/>
          <w:lang w:val="fr-FR"/>
        </w:rPr>
        <w:t> </w:t>
      </w:r>
      <w:r w:rsidR="00FF3DA6" w:rsidRPr="007E5C1C">
        <w:rPr>
          <w:rFonts w:ascii="Times" w:hAnsi="Times"/>
          <w:lang w:val="fr-FR"/>
        </w:rPr>
        <w:t>banaliser</w:t>
      </w:r>
      <w:r w:rsidR="00FF3DA6" w:rsidRPr="007E5C1C">
        <w:rPr>
          <w:rFonts w:ascii="Calibri" w:eastAsia="Calibri" w:hAnsi="Calibri" w:cs="Calibri"/>
          <w:lang w:val="fr-FR"/>
        </w:rPr>
        <w:t> </w:t>
      </w:r>
      <w:r w:rsidR="00FF3DA6" w:rsidRPr="007E5C1C">
        <w:rPr>
          <w:rFonts w:ascii="Times" w:hAnsi="Times"/>
          <w:lang w:val="fr-FR"/>
        </w:rPr>
        <w:t>» un autre génocide pour déclencher ce même régime.</w:t>
      </w:r>
      <w:r w:rsidRPr="007E5C1C">
        <w:rPr>
          <w:rFonts w:ascii="Times" w:hAnsi="Times"/>
          <w:lang w:val="fr-FR"/>
        </w:rPr>
        <w:t xml:space="preserve"> C</w:t>
      </w:r>
      <w:r w:rsidR="00583CDB" w:rsidRPr="007E5C1C">
        <w:rPr>
          <w:rFonts w:ascii="Times" w:hAnsi="Times"/>
          <w:lang w:val="fr-FR"/>
        </w:rPr>
        <w:t>’est</w:t>
      </w:r>
      <w:r w:rsidRPr="007E5C1C">
        <w:rPr>
          <w:rFonts w:ascii="Times" w:hAnsi="Times"/>
          <w:lang w:val="fr-FR"/>
        </w:rPr>
        <w:t xml:space="preserve"> </w:t>
      </w:r>
      <w:r w:rsidR="00AB16CD" w:rsidRPr="007E5C1C">
        <w:rPr>
          <w:rFonts w:ascii="Times" w:hAnsi="Times"/>
          <w:lang w:val="fr-FR"/>
        </w:rPr>
        <w:t xml:space="preserve">à </w:t>
      </w:r>
      <w:r w:rsidR="00583CDB" w:rsidRPr="007E5C1C">
        <w:rPr>
          <w:rFonts w:ascii="Times" w:hAnsi="Times"/>
          <w:lang w:val="fr-FR"/>
        </w:rPr>
        <w:t>tout le moins</w:t>
      </w:r>
      <w:r>
        <w:rPr>
          <w:rFonts w:ascii="Times" w:hAnsi="Times"/>
          <w:lang w:val="fr-FR"/>
        </w:rPr>
        <w:t xml:space="preserve"> </w:t>
      </w:r>
      <w:r w:rsidR="00583CDB" w:rsidRPr="007E5C1C">
        <w:rPr>
          <w:rFonts w:ascii="Times" w:hAnsi="Times"/>
          <w:lang w:val="fr-FR"/>
        </w:rPr>
        <w:t>surprenant</w:t>
      </w:r>
      <w:r>
        <w:rPr>
          <w:rFonts w:ascii="Times" w:hAnsi="Times"/>
          <w:lang w:val="fr-FR"/>
        </w:rPr>
        <w:t>,</w:t>
      </w:r>
      <w:r w:rsidR="00583CDB" w:rsidRPr="007E5C1C">
        <w:rPr>
          <w:rFonts w:ascii="Times" w:hAnsi="Times"/>
          <w:lang w:val="fr-FR"/>
        </w:rPr>
        <w:t xml:space="preserve"> voire tout simplement scandaleux.</w:t>
      </w:r>
    </w:p>
    <w:p w14:paraId="2EB1991F" w14:textId="77777777" w:rsidR="00FF3DA6" w:rsidRPr="007E5C1C" w:rsidRDefault="00FF3DA6" w:rsidP="00FF3DA6">
      <w:pPr>
        <w:jc w:val="both"/>
        <w:rPr>
          <w:rFonts w:ascii="Times" w:hAnsi="Times"/>
          <w:lang w:val="fr-FR"/>
        </w:rPr>
      </w:pPr>
    </w:p>
    <w:p w14:paraId="7C4C1D34" w14:textId="35BF8998" w:rsidR="00946CD3" w:rsidRDefault="007E5C1C" w:rsidP="00F91CB3">
      <w:pPr>
        <w:jc w:val="both"/>
        <w:rPr>
          <w:rFonts w:ascii="Times" w:hAnsi="Times"/>
          <w:lang w:val="fr-FR"/>
        </w:rPr>
      </w:pPr>
      <w:r w:rsidRPr="007E5C1C">
        <w:rPr>
          <w:rFonts w:ascii="Times" w:hAnsi="Times"/>
          <w:b/>
          <w:lang w:val="fr-FR"/>
        </w:rPr>
        <w:t>–</w:t>
      </w:r>
      <w:r>
        <w:rPr>
          <w:rFonts w:ascii="Times" w:hAnsi="Times"/>
          <w:b/>
          <w:lang w:val="fr-FR"/>
        </w:rPr>
        <w:t xml:space="preserve"> </w:t>
      </w:r>
      <w:r w:rsidR="00FF3DA6" w:rsidRPr="007E5C1C">
        <w:rPr>
          <w:rFonts w:ascii="Times" w:hAnsi="Times"/>
          <w:b/>
          <w:lang w:val="fr-FR"/>
        </w:rPr>
        <w:t>L’atteinte à la liberté d’expression</w:t>
      </w:r>
      <w:r w:rsidRPr="007E5C1C">
        <w:rPr>
          <w:rFonts w:ascii="Times" w:hAnsi="Times"/>
          <w:lang w:val="fr-FR"/>
        </w:rPr>
        <w:t> </w:t>
      </w:r>
      <w:r w:rsidR="00FF3DA6" w:rsidRPr="007E5C1C">
        <w:rPr>
          <w:rFonts w:ascii="Times" w:hAnsi="Times"/>
          <w:lang w:val="fr-FR"/>
        </w:rPr>
        <w:t>:</w:t>
      </w:r>
      <w:r>
        <w:rPr>
          <w:rFonts w:ascii="Times" w:hAnsi="Times"/>
          <w:lang w:val="fr-FR"/>
        </w:rPr>
        <w:t xml:space="preserve"> </w:t>
      </w:r>
      <w:r w:rsidR="00946CD3">
        <w:rPr>
          <w:rFonts w:ascii="Times" w:hAnsi="Times"/>
          <w:lang w:val="fr-FR"/>
        </w:rPr>
        <w:t>Le</w:t>
      </w:r>
      <w:r w:rsidR="00946CD3" w:rsidRPr="007E5C1C">
        <w:rPr>
          <w:rFonts w:ascii="Times" w:hAnsi="Times"/>
          <w:lang w:val="fr-FR"/>
        </w:rPr>
        <w:t xml:space="preserve"> dispositif inscrit à l’article 38 ter prévoi</w:t>
      </w:r>
      <w:r w:rsidR="00946CD3">
        <w:rPr>
          <w:rFonts w:ascii="Times" w:hAnsi="Times"/>
          <w:lang w:val="fr-FR"/>
        </w:rPr>
        <w:t>t deux conditions alternatives :</w:t>
      </w:r>
    </w:p>
    <w:p w14:paraId="302630F8" w14:textId="77777777" w:rsidR="00946CD3" w:rsidRDefault="00946CD3" w:rsidP="00F91CB3">
      <w:pPr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-</w:t>
      </w:r>
      <w:r w:rsidRPr="007E5C1C">
        <w:rPr>
          <w:rFonts w:ascii="Times" w:hAnsi="Times"/>
          <w:lang w:val="fr-FR"/>
        </w:rPr>
        <w:t xml:space="preserve">soit la condamnation </w:t>
      </w:r>
      <w:r>
        <w:rPr>
          <w:rFonts w:ascii="Times" w:hAnsi="Times"/>
          <w:lang w:val="fr-FR"/>
        </w:rPr>
        <w:t>par une juridiction</w:t>
      </w:r>
    </w:p>
    <w:p w14:paraId="076627CE" w14:textId="77777777" w:rsidR="00946CD3" w:rsidRDefault="00946CD3" w:rsidP="00F91CB3">
      <w:pPr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-</w:t>
      </w:r>
      <w:r w:rsidRPr="007E5C1C">
        <w:rPr>
          <w:rFonts w:ascii="Times" w:hAnsi="Times"/>
          <w:lang w:val="fr-FR"/>
        </w:rPr>
        <w:t>soit l’incitati</w:t>
      </w:r>
      <w:r>
        <w:rPr>
          <w:rFonts w:ascii="Times" w:hAnsi="Times"/>
          <w:lang w:val="fr-FR"/>
        </w:rPr>
        <w:t>on à la violence et à la haine)</w:t>
      </w:r>
    </w:p>
    <w:p w14:paraId="0652CE56" w14:textId="643B64BE" w:rsidR="004D1F84" w:rsidRDefault="00946CD3" w:rsidP="004D1F84">
      <w:pPr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Or ,le</w:t>
      </w:r>
      <w:r w:rsidRPr="007E5C1C">
        <w:rPr>
          <w:rFonts w:ascii="Times" w:hAnsi="Times"/>
          <w:lang w:val="fr-FR"/>
        </w:rPr>
        <w:t xml:space="preserve"> Conseil constitutionnel </w:t>
      </w:r>
      <w:r>
        <w:rPr>
          <w:rFonts w:ascii="Times" w:hAnsi="Times"/>
          <w:lang w:val="fr-FR"/>
        </w:rPr>
        <w:t>en déclarant justement conforme à la Constitution la loi dite Gayssot ,</w:t>
      </w:r>
      <w:r w:rsidRPr="007E5C1C">
        <w:rPr>
          <w:rFonts w:ascii="Times" w:hAnsi="Times"/>
          <w:lang w:val="fr-FR"/>
        </w:rPr>
        <w:t>imp</w:t>
      </w:r>
      <w:r>
        <w:rPr>
          <w:rFonts w:ascii="Times" w:hAnsi="Times"/>
          <w:lang w:val="fr-FR"/>
        </w:rPr>
        <w:t>ose deux conditions cumulatives</w:t>
      </w:r>
      <w:r w:rsidR="004D1F84">
        <w:rPr>
          <w:rFonts w:ascii="Times" w:hAnsi="Times"/>
          <w:lang w:val="fr-FR"/>
        </w:rPr>
        <w:t xml:space="preserve"> pour limiter la liberté d’expression </w:t>
      </w:r>
      <w:r w:rsidRPr="007E5C1C">
        <w:rPr>
          <w:rFonts w:ascii="Times" w:hAnsi="Times"/>
          <w:lang w:val="fr-FR"/>
        </w:rPr>
        <w:t>(décision n° 2015-512 QPC</w:t>
      </w:r>
      <w:r>
        <w:rPr>
          <w:rFonts w:ascii="Times" w:hAnsi="Times"/>
          <w:lang w:val="fr-FR"/>
        </w:rPr>
        <w:t xml:space="preserve"> du 8 janvier 2016</w:t>
      </w:r>
      <w:r>
        <w:rPr>
          <w:rFonts w:ascii="Times" w:hAnsi="Times"/>
          <w:lang w:val="fr-FR"/>
        </w:rPr>
        <w:t>) :</w:t>
      </w:r>
      <w:r w:rsidRPr="007E5C1C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 xml:space="preserve"> </w:t>
      </w:r>
      <w:r w:rsidRPr="007E5C1C">
        <w:rPr>
          <w:rFonts w:ascii="Times" w:hAnsi="Times"/>
          <w:lang w:val="fr-FR"/>
        </w:rPr>
        <w:t xml:space="preserve">  </w:t>
      </w:r>
      <w:r w:rsidR="00FF3DA6" w:rsidRPr="007E5C1C">
        <w:rPr>
          <w:rFonts w:ascii="Times" w:hAnsi="Times"/>
          <w:lang w:val="fr-FR"/>
        </w:rPr>
        <w:t xml:space="preserve">la négation d’un crime contre l’humanité, comme le crime de génocide, ne traduit une incitation à la violence ou à la haine </w:t>
      </w:r>
      <w:r w:rsidR="00FF3DA6" w:rsidRPr="00946CD3">
        <w:rPr>
          <w:rFonts w:ascii="Times" w:hAnsi="Times"/>
          <w:u w:val="single"/>
          <w:lang w:val="fr-FR"/>
        </w:rPr>
        <w:t>qu’à condition que ce crime ait été reconnu comme tel par une juridiction</w:t>
      </w:r>
      <w:r w:rsidR="00FF3DA6" w:rsidRPr="007E5C1C">
        <w:rPr>
          <w:rFonts w:ascii="Times" w:hAnsi="Times"/>
          <w:lang w:val="fr-FR"/>
        </w:rPr>
        <w:t xml:space="preserve">. </w:t>
      </w:r>
      <w:r>
        <w:rPr>
          <w:rFonts w:ascii="Times" w:hAnsi="Times"/>
          <w:lang w:val="fr-FR"/>
        </w:rPr>
        <w:t xml:space="preserve"> </w:t>
      </w:r>
      <w:r w:rsidRPr="007E5C1C">
        <w:rPr>
          <w:rFonts w:ascii="Times" w:hAnsi="Times"/>
          <w:lang w:val="fr-FR"/>
        </w:rPr>
        <w:t xml:space="preserve"> </w:t>
      </w:r>
      <w:r w:rsidR="004D1F84">
        <w:rPr>
          <w:rFonts w:ascii="Times" w:hAnsi="Times"/>
          <w:lang w:val="fr-FR"/>
        </w:rPr>
        <w:t xml:space="preserve">Rappelons que </w:t>
      </w:r>
      <w:r w:rsidR="004D1F84">
        <w:rPr>
          <w:rFonts w:ascii="Times" w:hAnsi="Times"/>
          <w:lang w:val="fr-FR"/>
        </w:rPr>
        <w:t xml:space="preserve">La Cour européenne des droits de l’homme a condamné la Suisse dans l’arrêt </w:t>
      </w:r>
      <w:r w:rsidR="004D1F84">
        <w:rPr>
          <w:rFonts w:ascii="Times" w:hAnsi="Times"/>
          <w:i/>
          <w:lang w:val="fr-FR"/>
        </w:rPr>
        <w:t>Perinçek</w:t>
      </w:r>
      <w:r w:rsidR="004D1F84">
        <w:rPr>
          <w:rFonts w:ascii="Times" w:hAnsi="Times"/>
          <w:lang w:val="fr-FR"/>
        </w:rPr>
        <w:t xml:space="preserve"> du 15 octobre 2015 </w:t>
      </w:r>
      <w:r w:rsidR="004D1F84" w:rsidRPr="007E5C1C">
        <w:rPr>
          <w:rFonts w:ascii="Times" w:hAnsi="Times"/>
          <w:lang w:val="fr-FR"/>
        </w:rPr>
        <w:t>(aff. n° 27510/08)</w:t>
      </w:r>
      <w:r w:rsidR="004D1F84">
        <w:rPr>
          <w:rFonts w:ascii="Times" w:hAnsi="Times"/>
          <w:lang w:val="fr-FR"/>
        </w:rPr>
        <w:t xml:space="preserve"> en considérant qu’eu égard à l’histoire suisse et au contexte social du pays les mesures pénales visant à réprimer la négation du génocide arménien n’étaient ni nécessaires, ni adaptées, ni proportionnées, et que cette limite à la liberté d’expression n’était aucunement fondée sur un « besoin social impérieux ». </w:t>
      </w:r>
      <w:r w:rsidR="004D1F84" w:rsidRPr="007E5C1C">
        <w:rPr>
          <w:rFonts w:ascii="Times" w:hAnsi="Times"/>
          <w:lang w:val="fr-FR"/>
        </w:rPr>
        <w:t>Il en irait de même pour la France, étant entendu que la «</w:t>
      </w:r>
      <w:r w:rsidR="004D1F84" w:rsidRPr="007E5C1C">
        <w:rPr>
          <w:rFonts w:ascii="Calibri" w:eastAsia="Calibri" w:hAnsi="Calibri" w:cs="Calibri"/>
          <w:lang w:val="fr-FR"/>
        </w:rPr>
        <w:t> </w:t>
      </w:r>
      <w:r w:rsidR="004D1F84" w:rsidRPr="007E5C1C">
        <w:rPr>
          <w:rFonts w:ascii="Times" w:hAnsi="Times"/>
          <w:lang w:val="fr-FR"/>
        </w:rPr>
        <w:t>négation</w:t>
      </w:r>
      <w:r w:rsidR="004D1F84" w:rsidRPr="007E5C1C">
        <w:rPr>
          <w:rFonts w:ascii="Calibri" w:eastAsia="Calibri" w:hAnsi="Calibri" w:cs="Calibri"/>
          <w:lang w:val="fr-FR"/>
        </w:rPr>
        <w:t> </w:t>
      </w:r>
      <w:r w:rsidR="004D1F84" w:rsidRPr="007E5C1C">
        <w:rPr>
          <w:rFonts w:ascii="Times" w:hAnsi="Times"/>
          <w:lang w:val="fr-FR"/>
        </w:rPr>
        <w:t xml:space="preserve">» du </w:t>
      </w:r>
      <w:r w:rsidR="004D1F84">
        <w:rPr>
          <w:rFonts w:ascii="Times" w:hAnsi="Times"/>
          <w:lang w:val="fr-FR"/>
        </w:rPr>
        <w:t>« </w:t>
      </w:r>
      <w:r w:rsidR="004D1F84" w:rsidRPr="007E5C1C">
        <w:rPr>
          <w:rFonts w:ascii="Times" w:hAnsi="Times"/>
          <w:lang w:val="fr-FR"/>
        </w:rPr>
        <w:t>génocide arménien</w:t>
      </w:r>
      <w:r w:rsidR="004D1F84">
        <w:rPr>
          <w:rFonts w:ascii="Times" w:hAnsi="Times"/>
          <w:lang w:val="fr-FR"/>
        </w:rPr>
        <w:t> »</w:t>
      </w:r>
      <w:r w:rsidR="004D1F84" w:rsidRPr="007E5C1C">
        <w:rPr>
          <w:rFonts w:ascii="Times" w:hAnsi="Times"/>
          <w:lang w:val="fr-FR"/>
        </w:rPr>
        <w:t xml:space="preserve"> ne saurait traduire, et n’a jamais traduit, un quelconque </w:t>
      </w:r>
      <w:r w:rsidR="004D1F84">
        <w:rPr>
          <w:rFonts w:ascii="Times" w:hAnsi="Times"/>
          <w:lang w:val="fr-FR"/>
        </w:rPr>
        <w:t>« </w:t>
      </w:r>
      <w:r w:rsidR="004D1F84" w:rsidRPr="007E5C1C">
        <w:rPr>
          <w:rFonts w:ascii="Times" w:hAnsi="Times"/>
          <w:lang w:val="fr-FR"/>
        </w:rPr>
        <w:t>anti-arménisme</w:t>
      </w:r>
      <w:r w:rsidR="004D1F84">
        <w:rPr>
          <w:rFonts w:ascii="Times" w:hAnsi="Times"/>
          <w:lang w:val="fr-FR"/>
        </w:rPr>
        <w:t> »</w:t>
      </w:r>
      <w:r w:rsidR="004D1F84" w:rsidRPr="007E5C1C">
        <w:rPr>
          <w:rFonts w:ascii="Times" w:hAnsi="Times"/>
          <w:lang w:val="fr-FR"/>
        </w:rPr>
        <w:t>. L’article 38 ter conduirait donc à une condamnation de la France par la Cour européenne des droits de l’homme.</w:t>
      </w:r>
    </w:p>
    <w:p w14:paraId="70E0942E" w14:textId="02254BE0" w:rsidR="004D1F84" w:rsidRDefault="004D1F84" w:rsidP="004D1F84">
      <w:pPr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Même dans l’hypothèse d’un amendement différent dans sa rédaction de celui de l’article 38bis mais identique par sa nature ,il serait contraire à la Constitution .</w:t>
      </w:r>
    </w:p>
    <w:p w14:paraId="3ED5943A" w14:textId="15F2611E" w:rsidR="004D1F84" w:rsidRPr="004D1F84" w:rsidRDefault="004D1F84" w:rsidP="004D1F84">
      <w:pPr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 xml:space="preserve">Comme le rappelait Pierre Nora , après Robert Badinter et  le Doyen Vedel , il n’appartient pas au Parlement d’écrire l’histoire et à la </w:t>
      </w:r>
      <w:r w:rsidRPr="004D1F84">
        <w:rPr>
          <w:rFonts w:ascii="Times" w:hAnsi="Times"/>
          <w:lang w:val="fr-FR"/>
        </w:rPr>
        <w:t xml:space="preserve">France  de “s'ériger  en juge de l'humanité toute entière » (Audition de M. Pierre Nora, historien, membre de l'Académie française par la Commission de la Culture, de l’Education et de la Communication, le 24 juin 2015) .    </w:t>
      </w:r>
    </w:p>
    <w:p w14:paraId="22A458E0" w14:textId="77777777" w:rsidR="004D1F84" w:rsidRPr="004D1F84" w:rsidRDefault="004D1F84" w:rsidP="004D1F84">
      <w:pPr>
        <w:jc w:val="both"/>
        <w:rPr>
          <w:rFonts w:ascii="Times" w:hAnsi="Times"/>
          <w:lang w:val="fr-FR"/>
        </w:rPr>
      </w:pPr>
    </w:p>
    <w:p w14:paraId="701BBD4F" w14:textId="264891A6" w:rsidR="004D1F84" w:rsidRPr="007E5C1C" w:rsidRDefault="004D1F84" w:rsidP="004D1F84">
      <w:pPr>
        <w:jc w:val="both"/>
        <w:rPr>
          <w:rFonts w:ascii="Times" w:hAnsi="Times"/>
          <w:lang w:val="fr-FR"/>
        </w:rPr>
      </w:pPr>
    </w:p>
    <w:p w14:paraId="733A84FE" w14:textId="77777777" w:rsidR="004D1F84" w:rsidRPr="007E5C1C" w:rsidRDefault="004D1F84" w:rsidP="004D1F84">
      <w:pPr>
        <w:ind w:firstLine="720"/>
        <w:jc w:val="both"/>
        <w:rPr>
          <w:rFonts w:ascii="Times" w:hAnsi="Times"/>
          <w:lang w:val="fr-FR"/>
        </w:rPr>
      </w:pPr>
      <w:r w:rsidRPr="007E5C1C">
        <w:rPr>
          <w:rFonts w:ascii="Times" w:hAnsi="Times"/>
          <w:lang w:val="fr-FR"/>
        </w:rPr>
        <w:t xml:space="preserve">En vous remerciant de l’attention que vous porterez à nos observations, nous vous prions d’accepter, </w:t>
      </w:r>
      <w:r>
        <w:rPr>
          <w:rFonts w:ascii="Times" w:hAnsi="Times"/>
          <w:lang w:val="fr-FR"/>
        </w:rPr>
        <w:t>Madame la Sénatrice , l’expression de nos respectueux hommages</w:t>
      </w:r>
      <w:r w:rsidRPr="007E5C1C">
        <w:rPr>
          <w:rFonts w:ascii="Times" w:hAnsi="Times"/>
          <w:lang w:val="fr-FR"/>
        </w:rPr>
        <w:t>.</w:t>
      </w:r>
    </w:p>
    <w:p w14:paraId="270D09DF" w14:textId="77777777" w:rsidR="004D1F84" w:rsidRPr="007E5C1C" w:rsidRDefault="004D1F84" w:rsidP="004D1F84">
      <w:pPr>
        <w:jc w:val="both"/>
        <w:rPr>
          <w:rFonts w:ascii="Times" w:hAnsi="Times"/>
          <w:lang w:val="fr-FR"/>
        </w:rPr>
      </w:pPr>
    </w:p>
    <w:p w14:paraId="3A4084C2" w14:textId="77777777" w:rsidR="004D1F84" w:rsidRPr="007E5C1C" w:rsidRDefault="004D1F84" w:rsidP="004D1F84">
      <w:pPr>
        <w:jc w:val="both"/>
        <w:rPr>
          <w:rFonts w:ascii="Times" w:hAnsi="Times"/>
          <w:lang w:val="fr-FR"/>
        </w:rPr>
      </w:pPr>
    </w:p>
    <w:p w14:paraId="5831CAA9" w14:textId="77777777" w:rsidR="004D1F84" w:rsidRPr="007E5C1C" w:rsidRDefault="004D1F84" w:rsidP="004D1F84">
      <w:pPr>
        <w:jc w:val="both"/>
        <w:rPr>
          <w:rFonts w:ascii="Times" w:hAnsi="Times"/>
          <w:lang w:val="fr-FR"/>
        </w:rPr>
      </w:pPr>
    </w:p>
    <w:p w14:paraId="09389A7A" w14:textId="77777777" w:rsidR="004D1F84" w:rsidRPr="007E5C1C" w:rsidRDefault="004D1F84" w:rsidP="004D1F84">
      <w:pPr>
        <w:ind w:firstLine="720"/>
        <w:jc w:val="both"/>
        <w:rPr>
          <w:rFonts w:ascii="Times" w:hAnsi="Times"/>
          <w:lang w:val="fr-FR"/>
        </w:rPr>
      </w:pPr>
      <w:r w:rsidRPr="007E5C1C">
        <w:rPr>
          <w:rFonts w:ascii="Times" w:hAnsi="Times"/>
          <w:lang w:val="fr-FR"/>
        </w:rPr>
        <w:t xml:space="preserve">          M. Lutfi Bilgen      </w:t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 xml:space="preserve">Dr Demir Onger </w:t>
      </w:r>
      <w:r w:rsidRPr="007E5C1C"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ab/>
      </w:r>
      <w:r w:rsidRPr="007E5C1C">
        <w:rPr>
          <w:rFonts w:ascii="Times" w:hAnsi="Times"/>
          <w:lang w:val="fr-FR"/>
        </w:rPr>
        <w:tab/>
      </w:r>
    </w:p>
    <w:p w14:paraId="4BA0EC6E" w14:textId="17CB673A" w:rsidR="00EB4F70" w:rsidRPr="007E5C1C" w:rsidRDefault="00EB4F70" w:rsidP="007E5C1C">
      <w:pPr>
        <w:pStyle w:val="Corps"/>
        <w:spacing w:line="288" w:lineRule="auto"/>
        <w:jc w:val="both"/>
        <w:rPr>
          <w:sz w:val="24"/>
          <w:szCs w:val="24"/>
        </w:rPr>
      </w:pPr>
    </w:p>
    <w:sectPr w:rsidR="00EB4F70" w:rsidRPr="007E5C1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58E42" w14:textId="77777777" w:rsidR="00CE11FA" w:rsidRDefault="00CE11FA">
      <w:r>
        <w:separator/>
      </w:r>
    </w:p>
  </w:endnote>
  <w:endnote w:type="continuationSeparator" w:id="0">
    <w:p w14:paraId="27D836D4" w14:textId="77777777" w:rsidR="00CE11FA" w:rsidRDefault="00CE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EA7D9" w14:textId="77777777" w:rsidR="00EB4F70" w:rsidRDefault="00EB4F7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6E4F9" w14:textId="77777777" w:rsidR="00CE11FA" w:rsidRDefault="00CE11FA">
      <w:r>
        <w:separator/>
      </w:r>
    </w:p>
  </w:footnote>
  <w:footnote w:type="continuationSeparator" w:id="0">
    <w:p w14:paraId="18ABA9F4" w14:textId="77777777" w:rsidR="00CE11FA" w:rsidRDefault="00CE11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ECD5E" w14:textId="77777777" w:rsidR="00EB4F70" w:rsidRDefault="00EB4F7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DEE"/>
    <w:multiLevelType w:val="hybridMultilevel"/>
    <w:tmpl w:val="F3465A5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9D40F6"/>
    <w:multiLevelType w:val="multilevel"/>
    <w:tmpl w:val="7CA0AA8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40490"/>
    <w:multiLevelType w:val="hybridMultilevel"/>
    <w:tmpl w:val="F76C6B4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B079C"/>
    <w:multiLevelType w:val="hybridMultilevel"/>
    <w:tmpl w:val="593CB57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5F62AE"/>
    <w:multiLevelType w:val="hybridMultilevel"/>
    <w:tmpl w:val="E5987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72FB6"/>
    <w:multiLevelType w:val="hybridMultilevel"/>
    <w:tmpl w:val="7CA0AA88"/>
    <w:lvl w:ilvl="0" w:tplc="C994AD1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67F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C001B">
      <w:start w:val="1"/>
      <w:numFmt w:val="lowerRoman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E2F0F"/>
    <w:multiLevelType w:val="hybridMultilevel"/>
    <w:tmpl w:val="65F859D4"/>
    <w:lvl w:ilvl="0" w:tplc="49AA562C">
      <w:numFmt w:val="bullet"/>
      <w:lvlText w:val="–"/>
      <w:lvlJc w:val="left"/>
      <w:pPr>
        <w:ind w:left="720" w:hanging="360"/>
      </w:pPr>
      <w:rPr>
        <w:rFonts w:ascii="Times" w:eastAsia="Arial Unicode M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519C1"/>
    <w:multiLevelType w:val="hybridMultilevel"/>
    <w:tmpl w:val="42AACEC4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CCC4F12"/>
    <w:multiLevelType w:val="singleLevel"/>
    <w:tmpl w:val="5560C16C"/>
    <w:lvl w:ilvl="0">
      <w:start w:val="1"/>
      <w:numFmt w:val="decimal"/>
      <w:lvlRestart w:val="0"/>
      <w:pStyle w:val="paranumeroauto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61036D1F"/>
    <w:multiLevelType w:val="hybridMultilevel"/>
    <w:tmpl w:val="E1005584"/>
    <w:lvl w:ilvl="0" w:tplc="AC943B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E81AFB"/>
    <w:multiLevelType w:val="hybridMultilevel"/>
    <w:tmpl w:val="59080A5E"/>
    <w:lvl w:ilvl="0" w:tplc="040C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9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4F70"/>
    <w:rsid w:val="00026D6B"/>
    <w:rsid w:val="000B3049"/>
    <w:rsid w:val="000F5843"/>
    <w:rsid w:val="0018499C"/>
    <w:rsid w:val="00203A4E"/>
    <w:rsid w:val="002574BD"/>
    <w:rsid w:val="002B3A15"/>
    <w:rsid w:val="00347605"/>
    <w:rsid w:val="00414FE4"/>
    <w:rsid w:val="004617DD"/>
    <w:rsid w:val="004D1F84"/>
    <w:rsid w:val="00583CDB"/>
    <w:rsid w:val="005B2A3D"/>
    <w:rsid w:val="005E3EDA"/>
    <w:rsid w:val="005F043D"/>
    <w:rsid w:val="00680ECF"/>
    <w:rsid w:val="006B071E"/>
    <w:rsid w:val="007516CA"/>
    <w:rsid w:val="007833BE"/>
    <w:rsid w:val="007C1DA6"/>
    <w:rsid w:val="007E5C1C"/>
    <w:rsid w:val="007F07C5"/>
    <w:rsid w:val="00915528"/>
    <w:rsid w:val="00946CD3"/>
    <w:rsid w:val="009C6DBE"/>
    <w:rsid w:val="00A479EF"/>
    <w:rsid w:val="00A93986"/>
    <w:rsid w:val="00AB16CD"/>
    <w:rsid w:val="00BF14A0"/>
    <w:rsid w:val="00CC3022"/>
    <w:rsid w:val="00CE11FA"/>
    <w:rsid w:val="00DA0423"/>
    <w:rsid w:val="00E465BA"/>
    <w:rsid w:val="00EB4F70"/>
    <w:rsid w:val="00EC4115"/>
    <w:rsid w:val="00ED5F0A"/>
    <w:rsid w:val="00F03261"/>
    <w:rsid w:val="00F106AD"/>
    <w:rsid w:val="00F61D49"/>
    <w:rsid w:val="00F86A6F"/>
    <w:rsid w:val="00F91CB3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5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F61D4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/>
      <w:b/>
      <w:bCs/>
      <w:bdr w:val="none" w:sz="0" w:space="0" w:color="auto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F61D4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/>
      <w:b/>
      <w:bCs/>
      <w:bdr w:val="none" w:sz="0" w:space="0" w:color="auto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1D4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both"/>
      <w:outlineLvl w:val="4"/>
    </w:pPr>
    <w:rPr>
      <w:rFonts w:asciiTheme="majorHAnsi" w:eastAsiaTheme="majorEastAsia" w:hAnsiTheme="majorHAnsi" w:cstheme="majorBidi"/>
      <w:color w:val="1F4E69" w:themeColor="accent1" w:themeShade="7F"/>
      <w:bdr w:val="none" w:sz="0" w:space="0" w:color="auto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character" w:customStyle="1" w:styleId="Titre1Car">
    <w:name w:val="Titre 1 Car"/>
    <w:basedOn w:val="Policepardfaut"/>
    <w:link w:val="Titre1"/>
    <w:rsid w:val="00F61D49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Titre2Car">
    <w:name w:val="Titre 2 Car"/>
    <w:basedOn w:val="Policepardfaut"/>
    <w:link w:val="Titre2"/>
    <w:rsid w:val="00F61D49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Titre5Car">
    <w:name w:val="Titre 5 Car"/>
    <w:basedOn w:val="Policepardfaut"/>
    <w:link w:val="Titre5"/>
    <w:uiPriority w:val="9"/>
    <w:semiHidden/>
    <w:rsid w:val="00F61D49"/>
    <w:rPr>
      <w:rFonts w:asciiTheme="majorHAnsi" w:eastAsiaTheme="majorEastAsia" w:hAnsiTheme="majorHAnsi" w:cstheme="majorBidi"/>
      <w:color w:val="1F4E69" w:themeColor="accent1" w:themeShade="7F"/>
      <w:sz w:val="24"/>
      <w:szCs w:val="24"/>
      <w:bdr w:val="none" w:sz="0" w:space="0" w:color="auto"/>
      <w:lang w:eastAsia="ja-JP"/>
    </w:rPr>
  </w:style>
  <w:style w:type="paragraph" w:styleId="Notedebasdepage">
    <w:name w:val="footnote text"/>
    <w:basedOn w:val="Normal"/>
    <w:link w:val="NotedebasdepageCar"/>
    <w:unhideWhenUsed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Theme="minorEastAsia" w:cstheme="minorBidi"/>
      <w:sz w:val="20"/>
      <w:bdr w:val="none" w:sz="0" w:space="0" w:color="auto"/>
      <w:lang w:val="fr-FR" w:eastAsia="ja-JP"/>
    </w:rPr>
  </w:style>
  <w:style w:type="character" w:customStyle="1" w:styleId="NotedebasdepageCar">
    <w:name w:val="Note de bas de page Car"/>
    <w:basedOn w:val="Policepardfaut"/>
    <w:link w:val="Notedebasdepage"/>
    <w:rsid w:val="00F61D49"/>
    <w:rPr>
      <w:rFonts w:eastAsiaTheme="minorEastAsia" w:cstheme="minorBidi"/>
      <w:szCs w:val="24"/>
      <w:bdr w:val="none" w:sz="0" w:space="0" w:color="auto"/>
      <w:lang w:eastAsia="ja-JP"/>
    </w:rPr>
  </w:style>
  <w:style w:type="character" w:styleId="Appelnotedebasdep">
    <w:name w:val="footnote reference"/>
    <w:basedOn w:val="Policepardfaut"/>
    <w:unhideWhenUsed/>
    <w:rsid w:val="00F61D49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  <w:jc w:val="both"/>
    </w:pPr>
    <w:rPr>
      <w:rFonts w:eastAsiaTheme="minorEastAsia" w:cstheme="minorBidi"/>
      <w:bdr w:val="none" w:sz="0" w:space="0" w:color="auto"/>
      <w:lang w:val="fr-FR"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F61D49"/>
    <w:rPr>
      <w:rFonts w:eastAsiaTheme="minorEastAsia" w:cstheme="minorBidi"/>
      <w:sz w:val="24"/>
      <w:szCs w:val="24"/>
      <w:bdr w:val="none" w:sz="0" w:space="0" w:color="auto"/>
      <w:lang w:eastAsia="ja-JP"/>
    </w:rPr>
  </w:style>
  <w:style w:type="character" w:styleId="Numrodepage">
    <w:name w:val="page number"/>
    <w:basedOn w:val="Policepardfaut"/>
    <w:uiPriority w:val="99"/>
    <w:semiHidden/>
    <w:unhideWhenUsed/>
    <w:rsid w:val="00F61D49"/>
  </w:style>
  <w:style w:type="paragraph" w:styleId="Corpsdetexte">
    <w:name w:val="Body Text"/>
    <w:basedOn w:val="Normal"/>
    <w:link w:val="CorpsdetexteCar"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bdr w:val="none" w:sz="0" w:space="0" w:color="auto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F61D49"/>
    <w:rPr>
      <w:rFonts w:eastAsia="Times New Roman"/>
      <w:sz w:val="24"/>
      <w:szCs w:val="24"/>
      <w:bdr w:val="none" w:sz="0" w:space="0" w:color="auto"/>
    </w:rPr>
  </w:style>
  <w:style w:type="paragraph" w:customStyle="1" w:styleId="NBPlivre">
    <w:name w:val="NBP livre"/>
    <w:basedOn w:val="Notedebasdepage"/>
    <w:link w:val="NBPlivreCar"/>
    <w:autoRedefine/>
    <w:qFormat/>
    <w:rsid w:val="00F61D49"/>
    <w:pPr>
      <w:tabs>
        <w:tab w:val="left" w:pos="2127"/>
        <w:tab w:val="left" w:pos="3402"/>
      </w:tabs>
    </w:pPr>
    <w:rPr>
      <w:rFonts w:eastAsia="Times New Roman" w:cs="Times New Roman"/>
      <w:i/>
      <w:szCs w:val="20"/>
      <w:lang w:val="de-DE" w:eastAsia="fr-FR"/>
    </w:rPr>
  </w:style>
  <w:style w:type="character" w:customStyle="1" w:styleId="NBPlivreCar">
    <w:name w:val="NBP livre Car"/>
    <w:link w:val="NBPlivre"/>
    <w:rsid w:val="00F61D49"/>
    <w:rPr>
      <w:rFonts w:eastAsia="Times New Roman"/>
      <w:i/>
      <w:bdr w:val="none" w:sz="0" w:space="0" w:color="auto"/>
      <w:lang w:val="de-DE"/>
    </w:rPr>
  </w:style>
  <w:style w:type="paragraph" w:styleId="Pardeliste">
    <w:name w:val="List Paragraph"/>
    <w:basedOn w:val="Normal"/>
    <w:uiPriority w:val="34"/>
    <w:qFormat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="MS Mincho" w:hAnsiTheme="minorHAnsi" w:cstheme="minorBidi"/>
      <w:sz w:val="22"/>
      <w:szCs w:val="22"/>
      <w:bdr w:val="none" w:sz="0" w:space="0" w:color="auto"/>
      <w:lang w:val="fr-FR"/>
    </w:rPr>
  </w:style>
  <w:style w:type="paragraph" w:styleId="Sansinterligne">
    <w:name w:val="No Spacing"/>
    <w:uiPriority w:val="1"/>
    <w:qFormat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styleId="lev">
    <w:name w:val="Strong"/>
    <w:basedOn w:val="Policepardfaut"/>
    <w:uiPriority w:val="22"/>
    <w:qFormat/>
    <w:rsid w:val="00F61D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fr-FR" w:eastAsia="fr-FR"/>
    </w:rPr>
  </w:style>
  <w:style w:type="character" w:customStyle="1" w:styleId="titn">
    <w:name w:val="titn"/>
    <w:basedOn w:val="Policepardfaut"/>
    <w:rsid w:val="00F61D49"/>
    <w:rPr>
      <w:b/>
      <w:i/>
    </w:rPr>
  </w:style>
  <w:style w:type="paragraph" w:customStyle="1" w:styleId="Conclusion">
    <w:name w:val="Conclusion"/>
    <w:basedOn w:val="Normal"/>
    <w:next w:val="Normal"/>
    <w:rsid w:val="00F61D4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none" w:sz="0" w:space="0" w:color="auto"/>
        <w:bar w:val="none" w:sz="0" w:color="auto"/>
      </w:pBdr>
      <w:spacing w:before="360" w:after="120"/>
    </w:pPr>
    <w:rPr>
      <w:rFonts w:ascii="Calibri" w:eastAsia="Times New Roman" w:hAnsi="Calibri" w:cs="Arial"/>
      <w:b/>
      <w:bCs/>
      <w:bdr w:val="none" w:sz="0" w:space="0" w:color="auto"/>
      <w:lang w:val="fr-FR" w:eastAsia="fr-FR"/>
    </w:rPr>
  </w:style>
  <w:style w:type="paragraph" w:customStyle="1" w:styleId="paranumeroauto">
    <w:name w:val="para_numero_auto"/>
    <w:basedOn w:val="Normal"/>
    <w:rsid w:val="00F61D49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64" w:lineRule="auto"/>
      <w:jc w:val="both"/>
    </w:pPr>
    <w:rPr>
      <w:rFonts w:ascii="Arial" w:eastAsia="Times New Roman" w:hAnsi="Arial"/>
      <w:sz w:val="20"/>
      <w:szCs w:val="20"/>
      <w:bdr w:val="none" w:sz="0" w:space="0" w:color="auto"/>
      <w:lang w:val="fr-FR" w:eastAsia="fr-FR"/>
    </w:rPr>
  </w:style>
  <w:style w:type="paragraph" w:customStyle="1" w:styleId="paraalinea">
    <w:name w:val="para_alinea"/>
    <w:basedOn w:val="Normal"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264" w:lineRule="auto"/>
      <w:jc w:val="both"/>
    </w:pPr>
    <w:rPr>
      <w:rFonts w:ascii="Arial" w:eastAsia="Times New Roman" w:hAnsi="Arial"/>
      <w:sz w:val="20"/>
      <w:szCs w:val="20"/>
      <w:bdr w:val="none" w:sz="0" w:space="0" w:color="auto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Theme="minorEastAsia" w:cstheme="minorBidi"/>
      <w:bdr w:val="none" w:sz="0" w:space="0" w:color="auto"/>
      <w:lang w:val="fr-FR" w:eastAsia="ja-JP"/>
    </w:rPr>
  </w:style>
  <w:style w:type="paragraph" w:styleId="TM2">
    <w:name w:val="toc 2"/>
    <w:basedOn w:val="Normal"/>
    <w:next w:val="Normal"/>
    <w:autoRedefine/>
    <w:uiPriority w:val="39"/>
    <w:unhideWhenUsed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0"/>
      <w:jc w:val="both"/>
    </w:pPr>
    <w:rPr>
      <w:rFonts w:eastAsiaTheme="minorEastAsia" w:cstheme="minorBidi"/>
      <w:bdr w:val="none" w:sz="0" w:space="0" w:color="auto"/>
      <w:lang w:val="fr-FR" w:eastAsia="ja-JP"/>
    </w:rPr>
  </w:style>
  <w:style w:type="paragraph" w:styleId="TM3">
    <w:name w:val="toc 3"/>
    <w:basedOn w:val="Normal"/>
    <w:next w:val="Normal"/>
    <w:autoRedefine/>
    <w:uiPriority w:val="39"/>
    <w:unhideWhenUsed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0"/>
      <w:jc w:val="both"/>
    </w:pPr>
    <w:rPr>
      <w:rFonts w:eastAsiaTheme="minorEastAsia" w:cstheme="minorBidi"/>
      <w:bdr w:val="none" w:sz="0" w:space="0" w:color="auto"/>
      <w:lang w:val="fr-FR" w:eastAsia="ja-JP"/>
    </w:rPr>
  </w:style>
  <w:style w:type="paragraph" w:styleId="TM4">
    <w:name w:val="toc 4"/>
    <w:basedOn w:val="Normal"/>
    <w:next w:val="Normal"/>
    <w:autoRedefine/>
    <w:uiPriority w:val="39"/>
    <w:unhideWhenUsed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jc w:val="both"/>
    </w:pPr>
    <w:rPr>
      <w:rFonts w:eastAsiaTheme="minorEastAsia" w:cstheme="minorBidi"/>
      <w:bdr w:val="none" w:sz="0" w:space="0" w:color="auto"/>
      <w:lang w:val="fr-FR" w:eastAsia="ja-JP"/>
    </w:rPr>
  </w:style>
  <w:style w:type="paragraph" w:styleId="TM5">
    <w:name w:val="toc 5"/>
    <w:basedOn w:val="Normal"/>
    <w:next w:val="Normal"/>
    <w:autoRedefine/>
    <w:uiPriority w:val="39"/>
    <w:unhideWhenUsed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960"/>
      <w:jc w:val="both"/>
    </w:pPr>
    <w:rPr>
      <w:rFonts w:eastAsiaTheme="minorEastAsia" w:cstheme="minorBidi"/>
      <w:bdr w:val="none" w:sz="0" w:space="0" w:color="auto"/>
      <w:lang w:val="fr-FR" w:eastAsia="ja-JP"/>
    </w:rPr>
  </w:style>
  <w:style w:type="paragraph" w:styleId="TM6">
    <w:name w:val="toc 6"/>
    <w:basedOn w:val="Normal"/>
    <w:next w:val="Normal"/>
    <w:autoRedefine/>
    <w:uiPriority w:val="39"/>
    <w:unhideWhenUsed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200"/>
      <w:jc w:val="both"/>
    </w:pPr>
    <w:rPr>
      <w:rFonts w:eastAsiaTheme="minorEastAsia" w:cstheme="minorBidi"/>
      <w:bdr w:val="none" w:sz="0" w:space="0" w:color="auto"/>
      <w:lang w:val="fr-FR" w:eastAsia="ja-JP"/>
    </w:rPr>
  </w:style>
  <w:style w:type="paragraph" w:styleId="TM7">
    <w:name w:val="toc 7"/>
    <w:basedOn w:val="Normal"/>
    <w:next w:val="Normal"/>
    <w:autoRedefine/>
    <w:uiPriority w:val="39"/>
    <w:unhideWhenUsed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440"/>
      <w:jc w:val="both"/>
    </w:pPr>
    <w:rPr>
      <w:rFonts w:eastAsiaTheme="minorEastAsia" w:cstheme="minorBidi"/>
      <w:bdr w:val="none" w:sz="0" w:space="0" w:color="auto"/>
      <w:lang w:val="fr-FR" w:eastAsia="ja-JP"/>
    </w:rPr>
  </w:style>
  <w:style w:type="paragraph" w:styleId="TM8">
    <w:name w:val="toc 8"/>
    <w:basedOn w:val="Normal"/>
    <w:next w:val="Normal"/>
    <w:autoRedefine/>
    <w:uiPriority w:val="39"/>
    <w:unhideWhenUsed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680"/>
      <w:jc w:val="both"/>
    </w:pPr>
    <w:rPr>
      <w:rFonts w:eastAsiaTheme="minorEastAsia" w:cstheme="minorBidi"/>
      <w:bdr w:val="none" w:sz="0" w:space="0" w:color="auto"/>
      <w:lang w:val="fr-FR" w:eastAsia="ja-JP"/>
    </w:rPr>
  </w:style>
  <w:style w:type="paragraph" w:styleId="TM9">
    <w:name w:val="toc 9"/>
    <w:basedOn w:val="Normal"/>
    <w:next w:val="Normal"/>
    <w:autoRedefine/>
    <w:uiPriority w:val="39"/>
    <w:unhideWhenUsed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920"/>
      <w:jc w:val="both"/>
    </w:pPr>
    <w:rPr>
      <w:rFonts w:eastAsiaTheme="minorEastAsia" w:cstheme="minorBidi"/>
      <w:bdr w:val="none" w:sz="0" w:space="0" w:color="auto"/>
      <w:lang w:val="fr-FR" w:eastAsia="ja-JP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Lucida Grande" w:eastAsiaTheme="minorEastAsia" w:hAnsi="Lucida Grande" w:cs="Lucida Grande"/>
      <w:bdr w:val="none" w:sz="0" w:space="0" w:color="auto"/>
      <w:lang w:val="fr-FR" w:eastAsia="ja-JP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61D49"/>
    <w:rPr>
      <w:rFonts w:ascii="Lucida Grande" w:eastAsiaTheme="minorEastAsia" w:hAnsi="Lucida Grande" w:cs="Lucida Grande"/>
      <w:sz w:val="24"/>
      <w:szCs w:val="24"/>
      <w:bdr w:val="none" w:sz="0" w:space="0" w:color="auto"/>
      <w:lang w:eastAsia="ja-JP"/>
    </w:rPr>
  </w:style>
  <w:style w:type="paragraph" w:customStyle="1" w:styleId="Sansinterligne1">
    <w:name w:val="Sans interligne1"/>
    <w:aliases w:val="normal rédaction thèse"/>
    <w:link w:val="SansinterligneCar"/>
    <w:autoRedefine/>
    <w:uiPriority w:val="1"/>
    <w:qFormat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360" w:lineRule="atLeast"/>
      <w:ind w:firstLine="567"/>
      <w:jc w:val="both"/>
    </w:pPr>
    <w:rPr>
      <w:rFonts w:eastAsia="Times New Roman"/>
      <w:sz w:val="24"/>
      <w:szCs w:val="24"/>
      <w:bdr w:val="none" w:sz="0" w:space="0" w:color="auto"/>
    </w:rPr>
  </w:style>
  <w:style w:type="character" w:customStyle="1" w:styleId="SansinterligneCar">
    <w:name w:val="Sans interligne Car"/>
    <w:aliases w:val="normal rédaction thèse Car"/>
    <w:link w:val="Sansinterligne1"/>
    <w:uiPriority w:val="1"/>
    <w:rsid w:val="00F61D49"/>
    <w:rPr>
      <w:rFonts w:eastAsia="Times New Roman"/>
      <w:sz w:val="24"/>
      <w:szCs w:val="24"/>
      <w:bdr w:val="none" w:sz="0" w:space="0" w:color="auto"/>
    </w:rPr>
  </w:style>
  <w:style w:type="paragraph" w:customStyle="1" w:styleId="spip">
    <w:name w:val="spip"/>
    <w:basedOn w:val="Normal"/>
    <w:rsid w:val="00F61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bdr w:val="none" w:sz="0" w:space="0" w:color="auto"/>
      <w:lang w:val="en-GB" w:eastAsia="fr-FR"/>
    </w:rPr>
  </w:style>
  <w:style w:type="character" w:customStyle="1" w:styleId="glmot">
    <w:name w:val="gl_mot"/>
    <w:basedOn w:val="Policepardfaut"/>
    <w:rsid w:val="00F6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875</Words>
  <Characters>4813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cp:lastPrinted>2016-09-18T11:45:00Z</cp:lastPrinted>
  <dcterms:created xsi:type="dcterms:W3CDTF">2016-04-08T17:12:00Z</dcterms:created>
  <dcterms:modified xsi:type="dcterms:W3CDTF">2016-09-20T10:26:00Z</dcterms:modified>
</cp:coreProperties>
</file>